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02 / MODELLO CONTRATTUALE</w:t>
      </w:r>
    </w:p>
    <w:p>
      <w:pPr>
        <w:pStyle w:val="Title"/>
        <w:keepNext w:val="0"/>
        <w:spacing w:before="0" w:after="100" w:line="259" w:lineRule="auto"/>
      </w:pPr>
      <w:r>
        <w:t>Patto tra soci fondatori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Bozza modulare per cofounder di una società italiana: ruoli, quote, decisioni, uscita e prevenzione dei conflitti.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BOZZA DA PERSONALIZZARE E SOTTOPORRE A UN AVVOCATO. Non firmare senza verificare forma societaria, parti, clausole e adempimenti.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Prima di firmare: il patto non sostituisce lo statuto né, quando necessari, gli atti societari e gli adempimenti di legge. Verificare il testo con un avvocato e un notaio; confrontarlo con statuto, assetto fiscale e forma societaria.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Parti:</w:t>
      </w:r>
      <w:r>
        <w:t xml:space="preserve"> [NOME / CF / INDIRIZZO SOCIO A], [NOME / CF / INDIRIZZO SOCIO B], eventuali [ALTRI SOCI]. Società [DENOMINAZIONE, P.IVA o indicare “da costituire”]. </w:t>
      </w:r>
      <w:r>
        <w:rPr>
          <w:b/>
        </w:rPr>
        <w:t>Data:</w:t>
      </w:r>
      <w:r>
        <w:t xml:space="preserve"> [____].</w:t>
      </w:r>
    </w:p>
    <w:p>
      <w:pPr>
        <w:pStyle w:val="Heading1"/>
      </w:pPr>
      <w:r>
        <w:t>Premesse e perimetro</w:t>
      </w:r>
    </w:p>
    <w:p>
      <w:pPr>
        <w:keepNext w:val="0"/>
        <w:spacing w:before="0" w:after="140" w:line="286" w:lineRule="auto"/>
      </w:pPr>
      <w:r>
        <w:t>Le Parti intendono collaborare al progetto [____] nel settore [____]. Il presente schema disciplina, nei limiti ammessi, obblighi reciproci e modalità di collaborazione; non sostituisce l’atto costitutivo, lo statuto, delibere societarie o gli atti richiesti per trasferire partecipazioni.</w:t>
      </w:r>
    </w:p>
    <w:p>
      <w:pPr>
        <w:pStyle w:val="Heading2"/>
      </w:pPr>
      <w:r>
        <w:t>1. Missione e obiettivi</w:t>
      </w:r>
    </w:p>
    <w:p>
      <w:pPr>
        <w:keepNext w:val="0"/>
        <w:spacing w:before="0" w:after="140" w:line="286" w:lineRule="auto"/>
      </w:pPr>
      <w:r>
        <w:t>Obiettivo economico e operativo per i successivi 12 mesi: [____]. Priorità: [____]. È previsto un riesame trimestrale documentato; gli obiettivi non rappresentano una promessa di ricavi.</w:t>
      </w:r>
    </w:p>
    <w:p>
      <w:pPr>
        <w:pStyle w:val="Heading2"/>
      </w:pPr>
      <w:r>
        <w:t>2. Quote e conferimenti</w:t>
      </w:r>
    </w:p>
    <w:p>
      <w:pPr>
        <w:keepNext w:val="0"/>
        <w:spacing w:before="0" w:after="140" w:line="286" w:lineRule="auto"/>
      </w:pPr>
      <w:r>
        <w:t>Assetto attuale / proposto: Socio A [__]%, B [__]%, altri [__]%, totale 100%; conferimenti in denaro A €[__], B €[__], altri [__]; eventuali prestazioni lavorative devono essere regolate con strumenti separati e verificati secondo legge. Le quote non si trasferiscono automaticamente per effetto della presente bozza.</w:t>
      </w:r>
    </w:p>
    <w:p>
      <w:pPr>
        <w:pStyle w:val="Heading2"/>
      </w:pPr>
      <w:r>
        <w:t>3. Ruoli e tempo dedicato</w:t>
      </w:r>
    </w:p>
    <w:p>
      <w:pPr>
        <w:keepNext w:val="0"/>
        <w:spacing w:before="0" w:after="140" w:line="286" w:lineRule="auto"/>
      </w:pPr>
      <w:r>
        <w:t>Socio A: responsabilità [____], ore settimanali minime indicative [__]; Socio B: [____], ore [__]. Ogni socio registra deliverable mensili e segnala tempestivamente impedimenti. Cambi sostanziali richiedono accordo scritto.</w:t>
      </w:r>
    </w:p>
    <w:p>
      <w:pPr>
        <w:pStyle w:val="Heading2"/>
      </w:pPr>
      <w:r>
        <w:t>4. Compensi e spese</w:t>
      </w:r>
    </w:p>
    <w:p>
      <w:pPr>
        <w:keepNext w:val="0"/>
        <w:spacing w:before="0" w:after="140" w:line="286" w:lineRule="auto"/>
      </w:pPr>
      <w:r>
        <w:t>Retribuzioni, compensi da amministratore e rimborsi non sono impliciti nella titolarità delle quote. Eventuali compensi: [____], subordinati a delibere, contratti, sostenibilità finanziaria e adempimenti fiscali/contributivi applicabili. Spese oltre €[__] richiedono autorizzazione.</w:t>
      </w:r>
    </w:p>
    <w:p>
      <w:pPr>
        <w:pStyle w:val="Heading2"/>
      </w:pPr>
      <w:r>
        <w:t>5. Amministrazione e poteri</w:t>
      </w:r>
    </w:p>
    <w:p>
      <w:pPr>
        <w:keepNext w:val="0"/>
        <w:spacing w:before="0" w:after="140" w:line="286" w:lineRule="auto"/>
      </w:pPr>
      <w:r>
        <w:t>Organo amministrativo [____]. L’attribuzione di ruoli operativi non equivale a poteri di rappresentanza. Firmatari di contratti, accessi bancari e limiti di spesa: [____]. Le decisioni riservate e le relative maggioranze sono da coordinare con lo statuto.</w:t>
      </w:r>
    </w:p>
    <w:p>
      <w:pPr>
        <w:pStyle w:val="Heading2"/>
      </w:pPr>
      <w:r>
        <w:t>6. Decisioni riservate</w:t>
      </w:r>
    </w:p>
    <w:p>
      <w:pPr>
        <w:keepNext w:val="0"/>
        <w:spacing w:before="0" w:after="140" w:line="286" w:lineRule="auto"/>
      </w:pPr>
      <w:r>
        <w:t>Per investimenti oltre €[__], nuovi debiti oltre €[__], licenze IP, assunzioni chiave, ingresso di nuovi soci, modifica business model o vendita di asset rilevanti, le Parti si impegnano a consultarsi e applicare la procedura [unanimità / maggioranza / altra], entro i limiti dei poteri e delle norme societarie.</w:t>
      </w:r>
    </w:p>
    <w:p>
      <w:pPr>
        <w:pStyle w:val="Heading2"/>
      </w:pPr>
      <w:r>
        <w:t>7. Informazioni e trasparenza</w:t>
      </w:r>
    </w:p>
    <w:p>
      <w:pPr>
        <w:keepNext w:val="0"/>
        <w:spacing w:before="0" w:after="140" w:line="286" w:lineRule="auto"/>
      </w:pPr>
      <w:r>
        <w:t>Riunione operativa [settimanale] e revisione economica [mensile]. Ogni socio riceve l’elenco di cassa, debiti, contratti principali, milestone e decisioni aperte secondo la legge e il proprio ruolo. Conflitti di interesse e parti correlate sono dichiarati prima delle decisioni.</w:t>
      </w:r>
    </w:p>
    <w:p>
      <w:pPr>
        <w:pStyle w:val="Heading2"/>
      </w:pPr>
      <w:r>
        <w:t>8. Proprietà intellettuale e accessi</w:t>
      </w:r>
    </w:p>
    <w:p>
      <w:pPr>
        <w:keepNext w:val="0"/>
        <w:spacing w:before="0" w:after="140" w:line="286" w:lineRule="auto"/>
      </w:pPr>
      <w:r>
        <w:t>Codice, marchi, database, materiali e opere preesistenti appartengono ai rispettivi titolari, salvo allegato di licenza/cessione conforme alla legge. Le creazioni future, le licenze e i corrispettivi saranno formalizzati in atti distinti. Credenziali condivise attraverso sistemi aziendali con revoca programmata in uscita.</w:t>
      </w:r>
    </w:p>
    <w:p>
      <w:pPr>
        <w:pStyle w:val="Heading2"/>
      </w:pPr>
      <w:r>
        <w:t>9. Riservatezza e protezione dati</w:t>
      </w:r>
    </w:p>
    <w:p>
      <w:pPr>
        <w:keepNext w:val="0"/>
        <w:spacing w:before="0" w:after="140" w:line="286" w:lineRule="auto"/>
      </w:pPr>
      <w:r>
        <w:t>Obbligo di riservatezza su informazioni non pubbliche, salvo eccezioni legali. Il trattamento di dati personali avviene nel rispetto del GDPR; gli eventuali ruoli di titolare/responsabile sono definiti separatamente quando occorre.</w:t>
      </w:r>
    </w:p>
    <w:p>
      <w:pPr>
        <w:pStyle w:val="Heading2"/>
      </w:pPr>
      <w:r>
        <w:t>10. Cessione quote e nuovi ingressi</w:t>
      </w:r>
    </w:p>
    <w:p>
      <w:pPr>
        <w:keepNext w:val="0"/>
        <w:spacing w:before="0" w:after="140" w:line="286" w:lineRule="auto"/>
      </w:pPr>
      <w:r>
        <w:t>Eventuale prelazione, gradimento, lock-up, co-vendita o trascinamento saranno concordati e coordinati con lo statuto; efficacia, equità del prezzo, soglie e procedure vanno esaminate da un professionista. Nessun automatismo di acquisto è qui introdotto.</w:t>
      </w:r>
    </w:p>
    <w:p>
      <w:pPr>
        <w:pStyle w:val="Heading2"/>
      </w:pPr>
      <w:r>
        <w:t>11. Vesting, good/bad leaver</w:t>
      </w:r>
    </w:p>
    <w:p>
      <w:pPr>
        <w:keepNext w:val="0"/>
        <w:spacing w:before="0" w:after="140" w:line="286" w:lineRule="auto"/>
      </w:pPr>
      <w:r>
        <w:t>Le Parti valuteranno un accordo dedicato con calendario di maturazione, cliff, eventi di uscita, prezzo e procedura. In assenza di tale accordo non opera alcuna perdita automatica di quote. Richiamare eventuale accordo allegato n. [__].</w:t>
      </w:r>
    </w:p>
    <w:p>
      <w:pPr>
        <w:pStyle w:val="Heading2"/>
      </w:pPr>
      <w:r>
        <w:t>12. Conflitto e deadlock</w:t>
      </w:r>
    </w:p>
    <w:p>
      <w:pPr>
        <w:keepNext w:val="0"/>
        <w:spacing w:before="0" w:after="140" w:line="286" w:lineRule="auto"/>
      </w:pPr>
      <w:r>
        <w:t>Se una decisione riservata resta bloccata per [20] giorni, incontro tra soci entro [10] giorni, poi mediazione con esperto indipendente concordato. Prima di considerare put/call, asta o vendita forzata, definire valore, termini e strumenti eseguibili con il legale.</w:t>
      </w:r>
    </w:p>
    <w:p>
      <w:pPr>
        <w:pStyle w:val="Heading2"/>
      </w:pPr>
      <w:r>
        <w:t>13. Uscita e passaggio consegne</w:t>
      </w:r>
    </w:p>
    <w:p>
      <w:pPr>
        <w:keepNext w:val="0"/>
        <w:spacing w:before="0" w:after="140" w:line="286" w:lineRule="auto"/>
      </w:pPr>
      <w:r>
        <w:t>Il socio che intende interrompere il ruolo operativo comunica il fatto con preavviso organizzativo di [30] giorni, salvo diverse norme applicabili. In [15] giorni consegna documentazione, accessi, attività e contratti; quote, eventuali diritti di recesso e compensi restano regolati da legge e atti societari.</w:t>
      </w:r>
    </w:p>
    <w:p>
      <w:pPr>
        <w:pStyle w:val="Heading2"/>
      </w:pPr>
      <w:r>
        <w:t>14. Durata, modifiche, controversie</w:t>
      </w:r>
    </w:p>
    <w:p>
      <w:pPr>
        <w:keepNext w:val="0"/>
        <w:spacing w:before="0" w:after="140" w:line="286" w:lineRule="auto"/>
      </w:pPr>
      <w:r>
        <w:t>Il patto dura [__ mesi/anni], salvo scioglimento o rinnovo scritto, nel rispetto delle norme applicabili alla forma societaria e del possibile art. 2341-bis c.c. per SpA e società interessate. Le modifiche richiedono forma scritta; legge italiana e foro competente secondo legge o diversa valida clausola da negoziare.</w:t>
      </w:r>
    </w:p>
    <w:p>
      <w:pPr>
        <w:pStyle w:val="Heading1"/>
      </w:pPr>
      <w:r>
        <w:t>Allegato A — Matrice ruoli e responsabilità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3096"/>
        <w:gridCol w:w="3240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AREA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RESPONSABILE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KPI / FREQUENZA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Prodotto e qualità</w:t>
            </w:r>
          </w:p>
        </w:tc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Vendite e partnership</w:t>
            </w:r>
          </w:p>
        </w:tc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Finanza e reporting</w:t>
            </w:r>
          </w:p>
        </w:tc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Amministrazione / compliance</w:t>
            </w:r>
          </w:p>
        </w:tc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324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</w:tr>
    </w:tbl>
    <w:p>
      <w:pPr>
        <w:spacing w:after="0"/>
      </w:pPr>
    </w:p>
    <w:p>
      <w:pPr>
        <w:pStyle w:val="Heading1"/>
      </w:pPr>
      <w:r>
        <w:t>Allegato B — Decisioni da prendere prima della firma</w:t>
      </w:r>
    </w:p>
    <w:p>
      <w:pPr>
        <w:keepNext w:val="0"/>
        <w:spacing w:before="0" w:after="140" w:line="274" w:lineRule="auto"/>
      </w:pPr>
      <w:r>
        <w:t>☐  Forma giuridica e poteri di amministrazione effettivi</w:t>
      </w:r>
    </w:p>
    <w:p>
      <w:pPr>
        <w:keepNext w:val="0"/>
        <w:spacing w:before="0" w:after="140" w:line="274" w:lineRule="auto"/>
      </w:pPr>
      <w:r>
        <w:t>☐  Quote, conferimenti, valore dei beni o asset apportati</w:t>
      </w:r>
    </w:p>
    <w:p>
      <w:pPr>
        <w:keepNext w:val="0"/>
        <w:spacing w:before="0" w:after="140" w:line="274" w:lineRule="auto"/>
      </w:pPr>
      <w:r>
        <w:t>☐  Criterio per compensi e sostenibilità dei costi</w:t>
      </w:r>
    </w:p>
    <w:p>
      <w:pPr>
        <w:keepNext w:val="0"/>
        <w:spacing w:before="0" w:after="140" w:line="274" w:lineRule="auto"/>
      </w:pPr>
      <w:r>
        <w:t>☐  Vesting e condizioni di uscita, se applicabili</w:t>
      </w:r>
    </w:p>
    <w:p>
      <w:pPr>
        <w:keepNext w:val="0"/>
        <w:spacing w:before="0" w:after="140" w:line="274" w:lineRule="auto"/>
      </w:pPr>
      <w:r>
        <w:t>☐  Proprietà intellettuale e contratti già esistenti</w:t>
      </w:r>
    </w:p>
    <w:p>
      <w:pPr>
        <w:keepNext w:val="0"/>
        <w:spacing w:before="0" w:after="140" w:line="274" w:lineRule="auto"/>
      </w:pPr>
      <w:r>
        <w:t>☐  Coerenza con statuto, atti e formalità di pubblicità</w:t>
      </w:r>
    </w:p>
    <w:p>
      <w:pPr>
        <w:keepNext w:val="0"/>
        <w:spacing w:before="0" w:after="140" w:line="286" w:lineRule="auto"/>
      </w:pPr>
      <w:r>
        <w:rPr>
          <w:b/>
        </w:rPr>
        <w:t>Luogo/data:</w:t>
      </w:r>
      <w:r>
        <w:t xml:space="preserve"> [____________]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SOCIO A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SOCIO B / ALTRI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t>Strumento educativo e operativo: non costituisce consulenza legale, fiscale o finanziaria. Il modello contrattuale deve essere adattato alla forma societaria e verificato da un avvocato prima della firma.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Codice civile, testo vigente – Normattiva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Camera di commercio, trasferimento quote SRL (modulo S6) — </w:t>
      </w:r>
      <w:hyperlink r:id="rId12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Art. 2341-bis, testo ufficiale Gazzetta Ufficiale — </w:t>
      </w:r>
      <w:hyperlink r:id="rId13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MATCHING SOCIO–SOCIO  •  SEZIONE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42U0262&amp;atto.dataPubblicazioneGazzetta=1942-04-04&amp;tipoDettaglio=vigente" TargetMode="External"/><Relationship Id="rId12" Type="http://schemas.openxmlformats.org/officeDocument/2006/relationships/hyperlink" Target="https://www.ba.camcom.it/images/stories/pdf/circolari/modulo_s6.pdf" TargetMode="External"/><Relationship Id="rId13" Type="http://schemas.openxmlformats.org/officeDocument/2006/relationships/hyperlink" Target="https://www.gazzettaufficiale.it/atto/serie_generale/caricaArticoloDefault/originario?atto.codiceRedazionale=003G0010&amp;atto.dataPubblicazioneGazzetta=2003-01-22&amp;atto.tipoProvvedimento=DECRETO+LEGISLAT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