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03 / MODELLO CONTRATTUALE</w:t>
      </w:r>
    </w:p>
    <w:p>
      <w:pPr>
        <w:pStyle w:val="Title"/>
        <w:keepNext w:val="0"/>
        <w:spacing w:before="0" w:after="100" w:line="259" w:lineRule="auto"/>
      </w:pPr>
      <w:r>
        <w:t>Accordo di vesting e good/bad leaver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Schema per legare quote e permanenza nel progetto, evitando promesse di trasferimento automatico non perfezionate.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Attenzione:</w:t>
            </w:r>
            <w:r>
              <w:t xml:space="preserve"> il “vesting” non è un meccanismo unico nel diritto societario italiano. Per una S.r.l. va scelto come implementarlo (assegnazione progressiva, opzione su quote già assegnate, accordo condizionato o altra struttura), coordinando statuto, imposte e formalità. Questa bozza non trasferisce quote da sola.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Soci firmatari:</w:t>
      </w:r>
      <w:r>
        <w:t xml:space="preserve"> [____], [____]  |  </w:t>
      </w:r>
      <w:r>
        <w:rPr>
          <w:b/>
        </w:rPr>
        <w:t>Società:</w:t>
      </w:r>
      <w:r>
        <w:t xml:space="preserve"> [____]  |  </w:t>
      </w:r>
      <w:r>
        <w:rPr>
          <w:b/>
        </w:rPr>
        <w:t>Data di inizio maturazione:</w:t>
      </w:r>
      <w:r>
        <w:t xml:space="preserve"> [__/__/____]  |  </w:t>
      </w:r>
      <w:r>
        <w:rPr>
          <w:b/>
        </w:rPr>
        <w:t>Oggetto:</w:t>
      </w:r>
      <w:r>
        <w:t xml:space="preserve"> partecipazione indicativa [__]%.</w:t>
      </w:r>
    </w:p>
    <w:p>
      <w:pPr>
        <w:pStyle w:val="Heading1"/>
      </w:pPr>
      <w:r>
        <w:t>A. Configurazione da completare PRIMA delle clausole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5832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PARAMETRO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SCELTA / COMPILAZIONE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Metodo giuridico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quote già possedute + opzione  ☐ progressivo  ☐ altro [____]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Quota soggetta a vesting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[____]% del capitale, base di calcolo [____]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Periodo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[48] mesi: dal [data] al [data] (esempio, da negoziare)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Cliff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[12] mesi (esempio, da negoziare)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Maturazione dopo cliff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mensile  ☐ trimestrale  ☐ milestone verificabili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Contributo atteso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Ruolo [____], ore/mese [____], risultati e reporting [____]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Acquirente o beneficiario eventuale opzione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  |  Modalità e fondi: [____]</w:t>
            </w:r>
          </w:p>
        </w:tc>
      </w:tr>
      <w:tr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Valore e stima prezzo</w:t>
            </w:r>
          </w:p>
        </w:tc>
        <w:tc>
          <w:tcPr>
            <w:tcW w:type="dxa" w:w="583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Perito indipendente / formula verificabile [____]</w:t>
            </w:r>
          </w:p>
        </w:tc>
      </w:tr>
    </w:tbl>
    <w:p>
      <w:pPr>
        <w:spacing w:after="0"/>
      </w:pPr>
    </w:p>
    <w:p>
      <w:pPr>
        <w:pStyle w:val="Heading1"/>
      </w:pPr>
      <w:r>
        <w:t>B. Clausole di discussione</w:t>
      </w:r>
    </w:p>
    <w:p>
      <w:pPr>
        <w:pStyle w:val="Heading2"/>
      </w:pPr>
      <w:r>
        <w:t>1. Oggetto e finalità</w:t>
      </w:r>
    </w:p>
    <w:p>
      <w:pPr>
        <w:keepNext w:val="0"/>
        <w:spacing w:before="0" w:after="140" w:line="286" w:lineRule="auto"/>
      </w:pPr>
      <w:r>
        <w:t>Le Parti vogliono subordinare il mantenimento o l’acquisizione economica di una partecipazione all’effettivo contributo nel tempo, tramite il meccanismo societario individuato negli atti attuativi. Questo accordo stabilisce criteri e impegni di cooperazione; non esegue di per sé atti di cessione.</w:t>
      </w:r>
    </w:p>
    <w:p>
      <w:pPr>
        <w:pStyle w:val="Heading2"/>
      </w:pPr>
      <w:r>
        <w:t>2. Servizio e verifica</w:t>
      </w:r>
    </w:p>
    <w:p>
      <w:pPr>
        <w:keepNext w:val="0"/>
        <w:spacing w:before="0" w:after="140" w:line="286" w:lineRule="auto"/>
      </w:pPr>
      <w:r>
        <w:t>Contributo operativo atteso: [____]. La revisione trimestrale documenta obiettivi, ore, eventi impeditivi, contestazioni e autorizzazioni. Eventuali inadempimenti devono essere comunicati per iscritto e consentire chiarimenti o rimedio, ove possibile.</w:t>
      </w:r>
    </w:p>
    <w:p>
      <w:pPr>
        <w:pStyle w:val="Heading2"/>
      </w:pPr>
      <w:r>
        <w:t>3. Cliff e maturazione</w:t>
      </w:r>
    </w:p>
    <w:p>
      <w:pPr>
        <w:keepNext w:val="0"/>
        <w:spacing w:before="0" w:after="140" w:line="286" w:lineRule="auto"/>
      </w:pPr>
      <w:r>
        <w:t>Esempio illustrativo: 48 mesi totali, cliff 12 mesi. Prima del cliff matura economicamente 0%; al compimento del cliff 12/48 (=25%) della quota soggetta a vesting; poi 1/48 per ogni mese completo. Si applica solo se le Parti scelgono espressamente questo schema e lo rendono eseguibile nei documenti pertinenti.</w:t>
      </w:r>
    </w:p>
    <w:p>
      <w:pPr>
        <w:pStyle w:val="Heading2"/>
      </w:pPr>
      <w:r>
        <w:t>4. Sospensioni</w:t>
      </w:r>
    </w:p>
    <w:p>
      <w:pPr>
        <w:keepNext w:val="0"/>
        <w:spacing w:before="0" w:after="140" w:line="286" w:lineRule="auto"/>
      </w:pPr>
      <w:r>
        <w:t>Malattia, congedi, obblighi familiari, impossibilità temporanea e forza maggiore vanno trattati con criteri non discriminatori e rispettando norme inderogabili; sospensione o proroga del calendario [da negoziare in modo specifico].</w:t>
      </w:r>
    </w:p>
    <w:p>
      <w:pPr>
        <w:pStyle w:val="Heading2"/>
      </w:pPr>
      <w:r>
        <w:t>5. Good leaver (definizione proposta)</w:t>
      </w:r>
    </w:p>
    <w:p>
      <w:pPr>
        <w:keepNext w:val="0"/>
        <w:spacing w:before="0" w:after="140" w:line="286" w:lineRule="auto"/>
      </w:pPr>
      <w:r>
        <w:t>Esempi da esaminare: decesso, invalidità prolungata, uscita concordata o cessazione senza grave inadempimento. Procedura: comunicazione documentata, data di uscita oggettiva, eventuale trasferimento della sola quota non maturata secondo il meccanismo attuativo e prezzo equo concordato, salvo normativa applicabile.</w:t>
      </w:r>
    </w:p>
    <w:p>
      <w:pPr>
        <w:pStyle w:val="Heading2"/>
      </w:pPr>
      <w:r>
        <w:t>6. Bad leaver (definizione restrittiva)</w:t>
      </w:r>
    </w:p>
    <w:p>
      <w:pPr>
        <w:keepNext w:val="0"/>
        <w:spacing w:before="0" w:after="140" w:line="286" w:lineRule="auto"/>
      </w:pPr>
      <w:r>
        <w:t xml:space="preserve">Solo condotte </w:t>
      </w:r>
      <w:r>
        <w:rPr>
          <w:b/>
        </w:rPr>
        <w:t>specificamente definite e dimostrabili</w:t>
      </w:r>
      <w:r>
        <w:t xml:space="preserve"> come frode grave, appropriazione indebita o violazione intenzionale grave degli obblighi essenziali, accertate mediante procedura con contraddittorio. Non equiparare automaticamente dimissioni ordinarie o divergenze strategiche a “bad leaver”.</w:t>
      </w:r>
    </w:p>
    <w:p>
      <w:pPr>
        <w:pStyle w:val="Heading2"/>
      </w:pPr>
      <w:r>
        <w:t>7. Prezzo e valutazione delle quote</w:t>
      </w:r>
    </w:p>
    <w:p>
      <w:pPr>
        <w:keepNext w:val="0"/>
        <w:spacing w:before="0" w:after="140" w:line="286" w:lineRule="auto"/>
      </w:pPr>
      <w:r>
        <w:t>Per le quote eventualmente trasferibili, evitare prezzi simbolici o sanzioni sproporzionate senza revisione professionale. Definire prezzo differenziato e ragionevole tra quote maturate/non maturate, modalità di stima indipendente, corrispettivi, imposte e termini; rispettare norme inderogabili e statuto.</w:t>
      </w:r>
    </w:p>
    <w:p>
      <w:pPr>
        <w:pStyle w:val="Heading2"/>
      </w:pPr>
      <w:r>
        <w:t>8. Notifica e contestazione</w:t>
      </w:r>
    </w:p>
    <w:p>
      <w:pPr>
        <w:keepNext w:val="0"/>
        <w:spacing w:before="0" w:after="140" w:line="286" w:lineRule="auto"/>
      </w:pPr>
      <w:r>
        <w:t>Entro [15] giorni dall’evento la società o le Parti comunicano: categoria proposta, motivi, prove e calcolo. L’interessato può replicare entro [15] giorni; i disaccordi passano a mediazione/perizia [____] prima di ogni atto di trasferimento.</w:t>
      </w:r>
    </w:p>
    <w:p>
      <w:pPr>
        <w:pStyle w:val="Heading2"/>
      </w:pPr>
      <w:r>
        <w:t>9. Trasferimento e formalità</w:t>
      </w:r>
    </w:p>
    <w:p>
      <w:pPr>
        <w:keepNext w:val="0"/>
        <w:spacing w:before="0" w:after="140" w:line="286" w:lineRule="auto"/>
      </w:pPr>
      <w:r>
        <w:t>Se nasce un obbligo di trasferimento o di esercizio di opzione, le Parti collaborano per perfezionare gli atti con la forma e gli adempimenti applicabili, incluso il Registro delle imprese quando necessario. I diritti societari non mutano solo per la compilazione della tabella di maturazione.</w:t>
      </w:r>
    </w:p>
    <w:p>
      <w:pPr>
        <w:pStyle w:val="Heading2"/>
      </w:pPr>
      <w:r>
        <w:t>10. Proprietà intellettuale e riservatezza</w:t>
      </w:r>
    </w:p>
    <w:p>
      <w:pPr>
        <w:keepNext w:val="0"/>
        <w:spacing w:before="0" w:after="140" w:line="286" w:lineRule="auto"/>
      </w:pPr>
      <w:r>
        <w:t>L’uscita non modifica automaticamente titolarità di codici, marchi o know-how; eventuali cessioni e licenze devono risultare da accordi specifici. Restano applicabili riservatezza, tutela dati e consegne tecniche.</w:t>
      </w:r>
    </w:p>
    <w:p>
      <w:pPr>
        <w:pStyle w:val="Heading2"/>
      </w:pPr>
      <w:r>
        <w:t>11. Contratti collegati e sopravvivenza</w:t>
      </w:r>
    </w:p>
    <w:p>
      <w:pPr>
        <w:keepNext w:val="0"/>
        <w:spacing w:before="0" w:after="140" w:line="286" w:lineRule="auto"/>
      </w:pPr>
      <w:r>
        <w:t>Verificare allineamento con statuto, patto fondatori, eventuale rapporto lavorativo/consulenziale e autorizzazioni; eliminare incongruenze. La durata e i rimedi devono essere determinati e conformi alla legge.</w:t>
      </w:r>
    </w:p>
    <w:p>
      <w:pPr>
        <w:pStyle w:val="Heading1"/>
      </w:pPr>
      <w:r>
        <w:t>C. Esempio numerico didattico (non attribuisce quote)</w:t>
      </w:r>
    </w:p>
    <w:p>
      <w:pPr>
        <w:keepNext w:val="0"/>
        <w:spacing w:before="0" w:after="140" w:line="286" w:lineRule="auto"/>
      </w:pPr>
      <w:r>
        <w:t xml:space="preserve">Il socio ha una </w:t>
      </w:r>
      <w:r>
        <w:rPr>
          <w:b/>
        </w:rPr>
        <w:t>quota target del 20%</w:t>
      </w:r>
      <w:r>
        <w:t xml:space="preserve"> sottoposta a maturazione in 48 mesi con cliff di 12 mesi. A 18 mesi la quota “maturata” sarebbe 20% × 18/48 = </w:t>
      </w:r>
      <w:r>
        <w:rPr>
          <w:b/>
        </w:rPr>
        <w:t>7,5 punti percentuali</w:t>
      </w:r>
      <w:r>
        <w:t xml:space="preserve"> del capitale e la parte “non maturata” 12,5 punti. Questo è solo un calcolo contrattuale: proprietà effettiva e trasferimenti richiedono la struttura scelta.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2592"/>
        <w:gridCol w:w="3744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EVENTO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MESI CONTABILIZZATI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QUOTA MATURATA (TARGET 20%)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Uscita prima del cliff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6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0%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Cliff raggiunto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12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5,0%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Uscita al mese 18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18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7,5%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Fine periodo</w:t>
            </w:r>
          </w:p>
        </w:tc>
        <w:tc>
          <w:tcPr>
            <w:tcW w:type="dxa" w:w="259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48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20,0%</w:t>
            </w:r>
          </w:p>
        </w:tc>
      </w:tr>
    </w:tbl>
    <w:p>
      <w:pPr>
        <w:spacing w:after="0"/>
      </w:pPr>
    </w:p>
    <w:p>
      <w:pPr>
        <w:pStyle w:val="Heading1"/>
      </w:pPr>
      <w:r>
        <w:t>D. Checklist di implementazione</w:t>
      </w:r>
    </w:p>
    <w:p>
      <w:pPr>
        <w:keepNext w:val="0"/>
        <w:spacing w:before="0" w:after="140" w:line="274" w:lineRule="auto"/>
      </w:pPr>
      <w:r>
        <w:t>☐  Scegliere un meccanismo giuridico realizzabile per la forma societaria.</w:t>
      </w:r>
    </w:p>
    <w:p>
      <w:pPr>
        <w:keepNext w:val="0"/>
        <w:spacing w:before="0" w:after="140" w:line="274" w:lineRule="auto"/>
      </w:pPr>
      <w:r>
        <w:t>☐  Definire con precisione la quota su base diluita o non diluita.</w:t>
      </w:r>
    </w:p>
    <w:p>
      <w:pPr>
        <w:keepNext w:val="0"/>
        <w:spacing w:before="0" w:after="140" w:line="274" w:lineRule="auto"/>
      </w:pPr>
      <w:r>
        <w:t>☐  Confermare comportamento in caso di congedo, malattia e uscita concordata.</w:t>
      </w:r>
    </w:p>
    <w:p>
      <w:pPr>
        <w:keepNext w:val="0"/>
        <w:spacing w:before="0" w:after="140" w:line="274" w:lineRule="auto"/>
      </w:pPr>
      <w:r>
        <w:t>☐  Concordare valore, prezzo, esperto indipendente e gestione dei disaccordi.</w:t>
      </w:r>
    </w:p>
    <w:p>
      <w:pPr>
        <w:keepNext w:val="0"/>
        <w:spacing w:before="0" w:after="140" w:line="274" w:lineRule="auto"/>
      </w:pPr>
      <w:r>
        <w:t>☐  Coordinare clausole con statuto e patti; verificare imposte e adempimenti.</w:t>
      </w:r>
    </w:p>
    <w:p>
      <w:pPr>
        <w:keepNext w:val="0"/>
        <w:spacing w:before="0" w:after="140" w:line="274" w:lineRule="auto"/>
      </w:pPr>
      <w:r>
        <w:t>☐  Eliminare ambiguità tra ruolo di socio, amministratore, lavoratore e consulente.</w:t>
      </w:r>
    </w:p>
    <w:p>
      <w:pPr>
        <w:keepNext w:val="0"/>
        <w:spacing w:before="0" w:after="140" w:line="286" w:lineRule="auto"/>
      </w:pPr>
      <w:r>
        <w:rPr>
          <w:b/>
        </w:rPr>
        <w:t>Luogo/data:</w:t>
      </w:r>
      <w:r>
        <w:t xml:space="preserve"> [____________]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SOCIO 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SOCIO B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t>Strumento educativo e operativo: non costituisce consulenza legale, fiscale o finanziaria. Il modello contrattuale deve essere adattato alla forma societaria e verificato da un avvocato prima della firma.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Codice civile, testo vigente – Normattiva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Camera di commercio, trasferimento quote SRL (modulo S6)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www.ba.camcom.it/images/stories/pdf/circolari/modulo_s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