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04 / MODELLO CONTRATTUALE</w:t>
      </w:r>
    </w:p>
    <w:p>
      <w:pPr>
        <w:pStyle w:val="Title"/>
        <w:keepNext w:val="0"/>
        <w:spacing w:before="0" w:after="100" w:line="259" w:lineRule="auto"/>
      </w:pPr>
      <w:r>
        <w:t>Lettera d’intenti / Term sheet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Schema di discussione per un possibile ingresso in una società italiana: economica non vincolante salvo quanto indicato.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Data:</w:t>
      </w:r>
      <w:r>
        <w:t xml:space="preserve"> [____]  |  </w:t>
      </w:r>
      <w:r>
        <w:rPr>
          <w:b/>
        </w:rPr>
        <w:t>Progetto:</w:t>
      </w:r>
      <w:r>
        <w:t xml:space="preserve"> [____]  |  </w:t>
      </w:r>
      <w:r>
        <w:rPr>
          <w:b/>
        </w:rPr>
        <w:t>Investitore:</w:t>
      </w:r>
      <w:r>
        <w:t xml:space="preserve"> [____]  |  </w:t>
      </w:r>
      <w:r>
        <w:rPr>
          <w:b/>
        </w:rPr>
        <w:t>Società / founder:</w:t>
      </w:r>
      <w:r>
        <w:t xml:space="preserve"> [____]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Regola fondamentale:</w:t>
            </w:r>
            <w:r>
              <w:t xml:space="preserve"> questa è una </w:t>
            </w:r>
            <w:r>
              <w:rPr>
                <w:b/>
              </w:rPr>
              <w:t>bozza di negoziazione</w:t>
            </w:r>
            <w:r>
              <w:t>, non un contratto d’investimento perfezionato. Nessun denaro deve essere versato sulla base del solo modello; closing, quote e diritti richiedono atti e verifiche appropriati.</w:t>
            </w:r>
          </w:p>
        </w:tc>
      </w:tr>
    </w:tbl>
    <w:p>
      <w:pPr>
        <w:spacing w:after="0"/>
      </w:pPr>
    </w:p>
    <w:p>
      <w:pPr>
        <w:pStyle w:val="Heading1"/>
      </w:pPr>
      <w:r>
        <w:t>A. Termini economici proposti — NON VINCOLANTI</w:t>
      </w:r>
    </w:p>
    <w:p>
      <w:pPr>
        <w:pStyle w:val="Heading2"/>
      </w:pPr>
      <w:r>
        <w:t>1. Struttura</w:t>
      </w:r>
    </w:p>
    <w:p>
      <w:pPr>
        <w:keepNext w:val="0"/>
        <w:spacing w:before="0" w:after="140" w:line="286" w:lineRule="auto"/>
      </w:pPr>
      <w:r>
        <w:t>☐ aumento di capitale / sottoscrizione quote   ☐ acquisto quote esistenti   ☐ altra struttura [____]</w:t>
      </w:r>
    </w:p>
    <w:p>
      <w:pPr>
        <w:pStyle w:val="Heading2"/>
      </w:pPr>
      <w:r>
        <w:t>2. Importo</w:t>
      </w:r>
    </w:p>
    <w:p>
      <w:pPr>
        <w:keepNext w:val="0"/>
        <w:spacing w:before="0" w:after="140" w:line="286" w:lineRule="auto"/>
      </w:pPr>
      <w:r>
        <w:t>Investimento proposto € [________]; eventuali tranche [________].</w:t>
      </w:r>
    </w:p>
    <w:p>
      <w:pPr>
        <w:pStyle w:val="Heading2"/>
      </w:pPr>
      <w:r>
        <w:t>3. Valutazione</w:t>
      </w:r>
    </w:p>
    <w:p>
      <w:pPr>
        <w:keepNext w:val="0"/>
        <w:spacing w:before="0" w:after="140" w:line="286" w:lineRule="auto"/>
      </w:pPr>
      <w:r>
        <w:t>Pre-money € [________]; post-money indicativa € [________]; quote % post-money stimate [____] e base di calcolo [fully diluted / altra].</w:t>
      </w:r>
    </w:p>
    <w:p>
      <w:pPr>
        <w:pStyle w:val="Heading2"/>
      </w:pPr>
      <w:r>
        <w:t>4. Utilizzo fondi</w:t>
      </w:r>
    </w:p>
    <w:p>
      <w:pPr>
        <w:keepNext w:val="0"/>
        <w:spacing w:before="0" w:after="140" w:line="286" w:lineRule="auto"/>
      </w:pPr>
      <w:r>
        <w:t>Prodotto € [____]; acquisizione clienti € [____]; personale € [____]; circolante € [____]; altro [____].</w:t>
      </w:r>
    </w:p>
    <w:p>
      <w:pPr>
        <w:pStyle w:val="Heading2"/>
      </w:pPr>
      <w:r>
        <w:t>5. Milestone</w:t>
      </w:r>
    </w:p>
    <w:p>
      <w:pPr>
        <w:keepNext w:val="0"/>
        <w:spacing w:before="0" w:after="140" w:line="286" w:lineRule="auto"/>
      </w:pPr>
      <w:r>
        <w:t>Risultati attesi, misurabili e date indicative: [________]. Le milestone non costituiscono garanzia di risultato.</w:t>
      </w:r>
    </w:p>
    <w:p>
      <w:pPr>
        <w:pStyle w:val="Heading2"/>
      </w:pPr>
      <w:r>
        <w:t>6. Governance e diritti</w:t>
      </w:r>
    </w:p>
    <w:p>
      <w:pPr>
        <w:keepNext w:val="0"/>
        <w:spacing w:before="0" w:after="140" w:line="286" w:lineRule="auto"/>
      </w:pPr>
      <w:r>
        <w:t xml:space="preserve">Informazioni periodiche, eventuali delibere riservate, diritti di prelazione / co-vendita / trascinamento </w:t>
      </w:r>
      <w:r>
        <w:rPr>
          <w:b/>
        </w:rPr>
        <w:t>da negoziare e verificare</w:t>
      </w:r>
      <w:r>
        <w:t>.</w:t>
      </w:r>
    </w:p>
    <w:p>
      <w:pPr>
        <w:pStyle w:val="Heading2"/>
      </w:pPr>
      <w:r>
        <w:t>7. Consulenza</w:t>
      </w:r>
    </w:p>
    <w:p>
      <w:pPr>
        <w:keepNext w:val="0"/>
        <w:spacing w:before="0" w:after="140" w:line="286" w:lineRule="auto"/>
      </w:pPr>
      <w:r>
        <w:t>Se prevista: ruolo [____], ore/mese [____], compenso [____]; contratto servizi separato da investimento.</w:t>
      </w:r>
    </w:p>
    <w:p>
      <w:pPr>
        <w:pStyle w:val="Heading2"/>
      </w:pPr>
      <w:r>
        <w:t>8. Condizioni al closing</w:t>
      </w:r>
    </w:p>
    <w:p>
      <w:pPr>
        <w:keepNext w:val="0"/>
        <w:spacing w:before="0" w:after="140" w:line="286" w:lineRule="auto"/>
      </w:pPr>
      <w:r>
        <w:t>Due diligence soddisfacente, delibere societarie, conformità antiriciclaggio ove applicabile, atti e formalità, assenza di eventi pregiudizievoli significativi [da definire].</w:t>
      </w:r>
    </w:p>
    <w:p>
      <w:pPr>
        <w:pStyle w:val="Heading1"/>
      </w:pPr>
      <w:r>
        <w:t>B. Clausole procedurali</w:t>
      </w:r>
    </w:p>
    <w:p>
      <w:pPr>
        <w:pStyle w:val="Heading2"/>
      </w:pPr>
      <w:r>
        <w:t>9. Riservatezza — opzione contrattuale</w:t>
      </w:r>
    </w:p>
    <w:p>
      <w:pPr>
        <w:keepNext w:val="0"/>
        <w:spacing w:before="0" w:after="140" w:line="286" w:lineRule="auto"/>
      </w:pPr>
      <w:r>
        <w:t xml:space="preserve">☐ </w:t>
      </w:r>
      <w:r>
        <w:rPr>
          <w:b/>
        </w:rPr>
        <w:t>Si applica</w:t>
      </w:r>
      <w:r>
        <w:t xml:space="preserve"> NDA separato firmato in data [____].  ☐ </w:t>
      </w:r>
      <w:r>
        <w:rPr>
          <w:b/>
        </w:rPr>
        <w:t>Da concordare:</w:t>
      </w:r>
      <w:r>
        <w:t xml:space="preserve"> per le informazioni scambiate si negozierà un NDA prima dell’accesso alla data room. Se la prima casella non è selezionata, questo punto non introduce un obbligo autonomo di segretezza.</w:t>
      </w:r>
    </w:p>
    <w:p>
      <w:pPr>
        <w:pStyle w:val="Heading2"/>
      </w:pPr>
      <w:r>
        <w:t>10. Esclusiva — SOLO SE ESPRESSAMENTE ATTIVATA</w:t>
      </w:r>
    </w:p>
    <w:p>
      <w:pPr>
        <w:keepNext w:val="0"/>
        <w:spacing w:before="0" w:after="140" w:line="286" w:lineRule="auto"/>
      </w:pPr>
      <w:r>
        <w:t xml:space="preserve">☐ </w:t>
      </w:r>
      <w:r>
        <w:rPr>
          <w:b/>
        </w:rPr>
        <w:t>NON prevista</w:t>
      </w:r>
      <w:r>
        <w:t xml:space="preserve">.  ☐ </w:t>
      </w:r>
      <w:r>
        <w:rPr>
          <w:b/>
        </w:rPr>
        <w:t>Prevista</w:t>
      </w:r>
      <w:r>
        <w:t>: la società si impegna, dal [data] al [data] (massimo concordato [__] giorni), a non negoziare un’operazione sostanzialmente identica con altri potenziali investitori. Perimetro, eccezioni, rimedi e controprestazioni vanno definiti con assistenza legale.</w:t>
      </w:r>
    </w:p>
    <w:p>
      <w:pPr>
        <w:pStyle w:val="Heading2"/>
      </w:pPr>
      <w:r>
        <w:t>11. Costi</w:t>
      </w:r>
    </w:p>
    <w:p>
      <w:pPr>
        <w:keepNext w:val="0"/>
        <w:spacing w:before="0" w:after="140" w:line="286" w:lineRule="auto"/>
      </w:pPr>
      <w:r>
        <w:t>Salvo accordo scritto diverso, ciascuna parte sostiene i propri costi di consulenza, verifica e negoziazione. Nessuna commissione per il buon esito è prevista da questo modello.</w:t>
      </w:r>
    </w:p>
    <w:p>
      <w:pPr>
        <w:pStyle w:val="Heading2"/>
      </w:pPr>
      <w:r>
        <w:t>12. Natura del documento e legge applicabile</w:t>
      </w:r>
    </w:p>
    <w:p>
      <w:pPr>
        <w:keepNext w:val="0"/>
        <w:spacing w:before="0" w:after="140" w:line="286" w:lineRule="auto"/>
      </w:pPr>
      <w:r>
        <w:rPr>
          <w:b/>
        </w:rPr>
        <w:t>Le sezioni A.1–A.8 non sono vincolanti</w:t>
      </w:r>
      <w:r>
        <w:t xml:space="preserve"> e non obbligano a investire, vendere quote o concludere l’operazione. La sezione B.9 rileva solo se esiste NDA separato firmato; B.10 è vincolante esclusivamente se la casella “Prevista” è selezionata e il documento sottoscritto; B.11 è vincolante alla sottoscrizione. La legge italiana disciplina le sole obbligazioni eventualmente vincolanti. Resta salva la responsabilità precontrattuale prevista dalla legge.</w:t>
      </w:r>
    </w:p>
    <w:p>
      <w:pPr>
        <w:pStyle w:val="Heading1"/>
      </w:pPr>
      <w:r>
        <w:t>C. Verifiche e approvazioni</w:t>
      </w:r>
    </w:p>
    <w:p>
      <w:pPr>
        <w:keepNext w:val="0"/>
        <w:spacing w:before="0" w:after="140" w:line="274" w:lineRule="auto"/>
      </w:pPr>
      <w:r>
        <w:t>☐  Identità e poteri di firma dei sottoscrittori.</w:t>
      </w:r>
    </w:p>
    <w:p>
      <w:pPr>
        <w:keepNext w:val="0"/>
        <w:spacing w:before="0" w:after="140" w:line="274" w:lineRule="auto"/>
      </w:pPr>
      <w:r>
        <w:t>☐  Statuto e cap table; eventuali diritti di prelazione e gradimento.</w:t>
      </w:r>
    </w:p>
    <w:p>
      <w:pPr>
        <w:keepNext w:val="0"/>
        <w:spacing w:before="0" w:after="140" w:line="274" w:lineRule="auto"/>
      </w:pPr>
      <w:r>
        <w:t>☐  Valutazione e percentuali post-investimento coerenti con opzioni, convertibili e diluizioni.</w:t>
      </w:r>
    </w:p>
    <w:p>
      <w:pPr>
        <w:keepNext w:val="0"/>
        <w:spacing w:before="0" w:after="140" w:line="274" w:lineRule="auto"/>
      </w:pPr>
      <w:r>
        <w:t>☐  Regime fiscale delle parti, formalità notarili, iscrizioni e adempimenti applicabili.</w:t>
      </w:r>
    </w:p>
    <w:p>
      <w:pPr>
        <w:keepNext w:val="0"/>
        <w:spacing w:before="0" w:after="140" w:line="274" w:lineRule="auto"/>
      </w:pPr>
      <w:r>
        <w:t>☐  Versione finale degli accordi di investimento e dei patti societari.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Esempio didattico:</w:t>
            </w:r>
            <w:r>
              <w:t xml:space="preserve"> pre-money € 180.000 + nuovo capitale € 20.000 = post-money teorica € 200.000. Quota teorica investitore = 10%, </w:t>
            </w:r>
            <w:r>
              <w:rPr>
                <w:b/>
              </w:rPr>
              <w:t>solo</w:t>
            </w:r>
            <w:r>
              <w:t xml:space="preserve"> se non vi sono altri strumenti o rettifiche. Non trasferisce automaticamente il 10%.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Data e luogo:</w:t>
      </w:r>
      <w:r>
        <w:t xml:space="preserve"> 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SOCIETÀ / FOUNDER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INVESTITORE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 / poteri: 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Il modello contrattuale richiede una valutazione legale e fiscale prima dell’utilizzo.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www.registroimprese.it/fascic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