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Kicker"/>
        <w:keepNext w:val="0"/>
        <w:spacing w:before="240" w:after="80" w:line="286" w:lineRule="auto"/>
      </w:pPr>
      <w:r>
        <w:t>03 / MODELLO CONTRATTUALE</w:t>
      </w:r>
    </w:p>
    <w:p>
      <w:pPr>
        <w:pStyle w:val="Title"/>
        <w:keepNext w:val="0"/>
        <w:spacing w:before="0" w:after="100" w:line="259" w:lineRule="auto"/>
      </w:pPr>
      <w:r>
        <w:t>Accordo di riservatezza (NDA)</w:t>
      </w:r>
    </w:p>
    <w:p>
      <w:pPr>
        <w:keepNext w:val="0"/>
        <w:spacing w:before="0" w:after="280" w:line="286" w:lineRule="auto"/>
      </w:pPr>
      <w:r>
        <w:rPr>
          <w:color w:val="627383"/>
          <w:sz w:val="21"/>
        </w:rPr>
        <w:t>Modello unilaterale per il primo scambio di informazioni su un possibile ingresso come socio.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360"/>
      </w:tblGrid>
      <w:tr>
        <w:tc>
          <w:tcPr>
            <w:tcW w:type="dxa" w:w="9403"/>
            <w:shd w:fill="FFF2DA"/>
            <w:tcMar>
              <w:top w:w="130" w:type="dxa"/>
              <w:start w:w="150" w:type="dxa"/>
              <w:bottom w:w="125" w:type="dxa"/>
              <w:end w:w="150" w:type="dxa"/>
            </w:tcMar>
          </w:tcPr>
          <w:p>
            <w:pPr>
              <w:keepNext w:val="0"/>
              <w:spacing w:before="0" w:after="0" w:line="274" w:lineRule="auto"/>
            </w:pPr>
            <w:r>
              <w:rPr>
                <w:sz w:val="18"/>
              </w:rPr>
              <w:t>BOZZA DA PERSONALIZZARE E SOTTOPORRE A UN AVVOCATO. Non firmare senza verificare forma societaria, parti, clausole e adempimenti.</w:t>
            </w:r>
          </w:p>
        </w:tc>
      </w:tr>
    </w:tbl>
    <w:p>
      <w:pPr>
        <w:spacing w:after="0"/>
      </w:pPr>
    </w:p>
    <w:p>
      <w:pPr>
        <w:keepNext w:val="0"/>
        <w:spacing w:before="0" w:after="140" w:line="286" w:lineRule="auto"/>
      </w:pPr>
      <w:r>
        <w:rPr>
          <w:b/>
        </w:rPr>
        <w:t>Tra</w:t>
      </w:r>
      <w:r>
        <w:t xml:space="preserve"> [DENOMINAZIONE / NOME E COGNOME], CF/P.IVA [_____], con sede/residenza in [_____], rappresentata da [_____], di seguito </w:t>
      </w:r>
      <w:r>
        <w:rPr>
          <w:b/>
        </w:rPr>
        <w:t>Parte Divulgante</w:t>
      </w:r>
      <w:r>
        <w:t>;</w:t>
      </w:r>
    </w:p>
    <w:p>
      <w:pPr>
        <w:keepNext w:val="0"/>
        <w:spacing w:before="0" w:after="140" w:line="286" w:lineRule="auto"/>
      </w:pPr>
      <w:r>
        <w:rPr>
          <w:b/>
        </w:rPr>
        <w:t>e</w:t>
      </w:r>
      <w:r>
        <w:t xml:space="preserve"> [DENOMINAZIONE / NOME E COGNOME], CF/P.IVA [_____], con sede/residenza in [_____], di seguito </w:t>
      </w:r>
      <w:r>
        <w:rPr>
          <w:b/>
        </w:rPr>
        <w:t>Parte Ricevente</w:t>
      </w:r>
      <w:r>
        <w:t xml:space="preserve">. Congiuntamente, le </w:t>
      </w:r>
      <w:r>
        <w:rPr>
          <w:b/>
        </w:rPr>
        <w:t>Parti</w:t>
      </w:r>
      <w:r>
        <w:t>.</w:t>
      </w:r>
    </w:p>
    <w:p>
      <w:pPr>
        <w:pStyle w:val="Heading1"/>
      </w:pPr>
      <w:r>
        <w:t>Premesse e scopo</w:t>
      </w:r>
    </w:p>
    <w:p>
      <w:pPr>
        <w:keepNext w:val="0"/>
        <w:spacing w:before="0" w:after="140" w:line="286" w:lineRule="auto"/>
      </w:pPr>
      <w:r>
        <w:t xml:space="preserve">La Parte Divulgante intende fornire informazioni relative al progetto identificato come [NOME / CODICE PROGETTO], al solo scopo di consentire alla Parte Ricevente di </w:t>
      </w:r>
      <w:r>
        <w:rPr>
          <w:b/>
        </w:rPr>
        <w:t>valutare un’eventuale collaborazione o investimento</w:t>
      </w:r>
      <w:r>
        <w:t xml:space="preserve"> (lo “Scopo Consentito”). Non sorge alcun obbligo di investimento.</w:t>
      </w:r>
    </w:p>
    <w:p>
      <w:pPr>
        <w:pStyle w:val="Heading2"/>
      </w:pPr>
      <w:r>
        <w:t>1. Informazioni riservate</w:t>
      </w:r>
    </w:p>
    <w:p>
      <w:pPr>
        <w:keepNext w:val="0"/>
        <w:spacing w:before="0" w:after="140" w:line="286" w:lineRule="auto"/>
      </w:pPr>
      <w:r>
        <w:t>Sono riservate le informazioni non pubbliche trasmesse per iscritto, oralmente, mediante data room o altri supporti, comprese informazioni economiche, clienti, software, processi, strategie, know-how e l’esistenza o il contenuto delle trattative. Per quanto comunicato oralmente, la Parte Divulgante si impegna a precisarne la natura riservata al momento della comunicazione o con successiva conferma scritta entro [10] giorni lavorativi.</w:t>
      </w:r>
    </w:p>
    <w:p>
      <w:pPr>
        <w:pStyle w:val="Heading2"/>
      </w:pPr>
      <w:r>
        <w:t>2. Esclusioni</w:t>
      </w:r>
    </w:p>
    <w:p>
      <w:pPr>
        <w:keepNext w:val="0"/>
        <w:spacing w:before="0" w:after="140" w:line="286" w:lineRule="auto"/>
      </w:pPr>
      <w:r>
        <w:t>Non sono riservate informazioni che la Ricevente possa provare: (i) già lecitimente note senza obbligo di riservatezza; (ii) divenute pubbliche senza propria violazione; (iii) ottenute lecitamente da terzi senza obbligo di segretezza; (iv) sviluppate autonomamente senza utilizzare informazioni riservate.</w:t>
      </w:r>
    </w:p>
    <w:p>
      <w:pPr>
        <w:pStyle w:val="Heading2"/>
      </w:pPr>
      <w:r>
        <w:t>3. Obblighi della Parte Ricevente</w:t>
      </w:r>
    </w:p>
    <w:p>
      <w:pPr>
        <w:keepNext w:val="0"/>
        <w:spacing w:before="0" w:after="140" w:line="286" w:lineRule="auto"/>
      </w:pPr>
      <w:r>
        <w:t>La Ricevente utilizzerà le informazioni soltanto per lo Scopo Consentito; impedirà l’accesso non autorizzato adottando misure ragionevoli di sicurezza; non le copierà o divulgherà oltre quanto necessario; informerà tempestivamente la Divulgante di accessi o comunicazioni non autorizzati conosciuti.</w:t>
      </w:r>
    </w:p>
    <w:p>
      <w:pPr>
        <w:pStyle w:val="Heading2"/>
      </w:pPr>
      <w:r>
        <w:t>4. Persone autorizzate</w:t>
      </w:r>
    </w:p>
    <w:p>
      <w:pPr>
        <w:keepNext w:val="0"/>
        <w:spacing w:before="0" w:after="140" w:line="286" w:lineRule="auto"/>
      </w:pPr>
      <w:r>
        <w:t>L’accesso è consentito esclusivamente a dipendenti, collaboratori e consulenti professionali che abbiano necessità di conoscere le informazioni per lo Scopo Consentito e siano vincolati da obblighi di riservatezza almeno equivalenti o da segreto professionale. La Ricevente risponde del loro uso nei limiti applicabili.</w:t>
      </w:r>
    </w:p>
    <w:p>
      <w:pPr>
        <w:pStyle w:val="Heading2"/>
      </w:pPr>
      <w:r>
        <w:t>5. Comunicazioni obbligatorie</w:t>
      </w:r>
    </w:p>
    <w:p>
      <w:pPr>
        <w:keepNext w:val="0"/>
        <w:spacing w:before="0" w:after="140" w:line="286" w:lineRule="auto"/>
      </w:pPr>
      <w:r>
        <w:t>Se una disposizione di legge o ordine legittimo impone la disclosure, la Ricevente, quando legalmente consentito, avvisa preventivamente la Divulgante e comunica solo la porzione strettamente richiesta.</w:t>
      </w:r>
    </w:p>
    <w:p>
      <w:pPr>
        <w:pStyle w:val="Heading2"/>
      </w:pPr>
      <w:r>
        <w:t>6. Proprietà e assenza di licenza</w:t>
      </w:r>
    </w:p>
    <w:p>
      <w:pPr>
        <w:keepNext w:val="0"/>
        <w:spacing w:before="0" w:after="140" w:line="286" w:lineRule="auto"/>
      </w:pPr>
      <w:r>
        <w:t>Documenti, dati e diritti restano nella titolarità dei rispettivi titolari. Il presente NDA non trasferisce quote, proprietà intellettuale o licenze; non concede esclusiva, mandato né garanzia sulla completezza delle informazioni.</w:t>
      </w:r>
    </w:p>
    <w:p>
      <w:pPr>
        <w:pStyle w:val="Heading2"/>
      </w:pPr>
      <w:r>
        <w:t>7. Durata</w:t>
      </w:r>
    </w:p>
    <w:p>
      <w:pPr>
        <w:keepNext w:val="0"/>
        <w:spacing w:before="0" w:after="140" w:line="286" w:lineRule="auto"/>
      </w:pPr>
      <w:r>
        <w:t>Il presente accordo decorre dalla data di sottoscrizione. L’obbligo di riservatezza permane per [24] mesi dall’ultima comunicazione di informazioni riservate. Per le informazioni qualificabili come segreti commerciali, la tutela si estende per il periodo in cui permangono i requisiti di legge. Durata e meccanismo devono essere rivisti dal legale.</w:t>
      </w:r>
    </w:p>
    <w:p>
      <w:pPr>
        <w:pStyle w:val="Heading2"/>
      </w:pPr>
      <w:r>
        <w:t>8. Restituzione e cancellazione</w:t>
      </w:r>
    </w:p>
    <w:p>
      <w:pPr>
        <w:keepNext w:val="0"/>
        <w:spacing w:before="0" w:after="140" w:line="286" w:lineRule="auto"/>
      </w:pPr>
      <w:r>
        <w:t>Su richiesta scritta, entro [15] giorni lavorativi la Ricevente restituisce o elimina le copie in proprio possesso, salvo quelle la cui conservazione sia imposta dalla legge o necessaria per tutela di diritti, comunque protette da obblighi di riservatezza. È ammessa una conferma scritta della cancellazione.</w:t>
      </w:r>
    </w:p>
    <w:p>
      <w:pPr>
        <w:pStyle w:val="Heading2"/>
      </w:pPr>
      <w:r>
        <w:t>9. Dati personali</w:t>
      </w:r>
    </w:p>
    <w:p>
      <w:pPr>
        <w:keepNext w:val="0"/>
        <w:spacing w:before="0" w:after="140" w:line="286" w:lineRule="auto"/>
      </w:pPr>
      <w:r>
        <w:t>Le Parti trattano eventuali dati personali solo in conformità al GDPR e alle rispettive responsabilità. L’accordo non sostituisce informative, misure di sicurezza né un eventuale accordo ex art. 28 GDPR, ove effettivamente necessario.</w:t>
      </w:r>
    </w:p>
    <w:p>
      <w:pPr>
        <w:pStyle w:val="Heading2"/>
      </w:pPr>
      <w:r>
        <w:t>10. Violazioni e rimedi</w:t>
      </w:r>
    </w:p>
    <w:p>
      <w:pPr>
        <w:keepNext w:val="0"/>
        <w:spacing w:before="0" w:after="140" w:line="286" w:lineRule="auto"/>
      </w:pPr>
      <w:r>
        <w:t xml:space="preserve">In caso di violazione, la Parte lesa potrà esercitare i rimedi previsti dalla legge. Le Parti </w:t>
      </w:r>
      <w:r>
        <w:rPr>
          <w:b/>
        </w:rPr>
        <w:t>non</w:t>
      </w:r>
      <w:r>
        <w:t xml:space="preserve"> concordano automaticamente penali o risarcimenti predeterminati: eventuali importi o limitazioni devono essere negoziati e valutati da un legale.</w:t>
      </w:r>
    </w:p>
    <w:p>
      <w:pPr>
        <w:pStyle w:val="Heading2"/>
      </w:pPr>
      <w:r>
        <w:t>11. Legge applicabile e controversie</w:t>
      </w:r>
    </w:p>
    <w:p>
      <w:pPr>
        <w:keepNext w:val="0"/>
        <w:spacing w:before="0" w:after="140" w:line="286" w:lineRule="auto"/>
      </w:pPr>
      <w:r>
        <w:t>Si applica la legge italiana. Ogni controversia sarà devoluta al giudice competente secondo le norme vigenti, salva eventuale valida pattuizione specifica da concordare con un professionista.</w:t>
      </w:r>
    </w:p>
    <w:p>
      <w:pPr>
        <w:pStyle w:val="Heading2"/>
      </w:pPr>
      <w:r>
        <w:t>12. Modifiche e completezza</w:t>
      </w:r>
    </w:p>
    <w:p>
      <w:pPr>
        <w:keepNext w:val="0"/>
        <w:spacing w:before="0" w:after="140" w:line="286" w:lineRule="auto"/>
      </w:pPr>
      <w:r>
        <w:t>Ogni modifica deve risultare da accordo scritto tra le Parti. L’inefficacia di una clausola non comporta automaticamente l’inefficacia dell’intero accordo, nei limiti di legge.</w:t>
      </w:r>
    </w:p>
    <w:p>
      <w:pPr>
        <w:pStyle w:val="Heading1"/>
      </w:pPr>
      <w:r>
        <w:t>Dati da completare prima della firma</w:t>
      </w:r>
    </w:p>
    <w:p>
      <w:pPr>
        <w:keepNext w:val="0"/>
        <w:spacing w:before="0" w:after="140" w:line="274" w:lineRule="auto"/>
      </w:pPr>
      <w:r>
        <w:t>☐  Progetto / codice identificativo: [____________]</w:t>
      </w:r>
    </w:p>
    <w:p>
      <w:pPr>
        <w:keepNext w:val="0"/>
        <w:spacing w:before="0" w:after="140" w:line="274" w:lineRule="auto"/>
      </w:pPr>
      <w:r>
        <w:t>☐  Parte Divulgante e soggetto firmatario autorizzato: [____________]</w:t>
      </w:r>
    </w:p>
    <w:p>
      <w:pPr>
        <w:keepNext w:val="0"/>
        <w:spacing w:before="0" w:after="140" w:line="274" w:lineRule="auto"/>
      </w:pPr>
      <w:r>
        <w:t>☐  Parte Ricevente e soggetto firmatario autorizzato: [____________]</w:t>
      </w:r>
    </w:p>
    <w:p>
      <w:pPr>
        <w:keepNext w:val="0"/>
        <w:spacing w:before="0" w:after="140" w:line="274" w:lineRule="auto"/>
      </w:pPr>
      <w:r>
        <w:t>☐  Durata riservatezza: [____ mesi]  |  Eventuale allegato documenti: [____]</w:t>
      </w:r>
    </w:p>
    <w:p>
      <w:pPr>
        <w:keepNext w:val="0"/>
        <w:spacing w:before="0" w:after="140" w:line="286" w:lineRule="auto"/>
      </w:pPr>
      <w:r>
        <w:rPr>
          <w:b/>
        </w:rPr>
        <w:t>Luogo e data:</w:t>
      </w:r>
      <w:r>
        <w:t xml:space="preserve"> ________________________________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680"/>
        <w:gridCol w:w="4680"/>
      </w:tblGrid>
      <w:tr>
        <w:tc>
          <w:tcPr>
            <w:tcW w:type="dxa" w:w="4701"/>
            <w:shd w:fill="142B3E"/>
            <w:tcMar>
              <w:top w:w="120" w:type="dxa"/>
              <w:start w:w="110" w:type="dxa"/>
              <w:bottom w:w="115" w:type="dxa"/>
              <w:end w:w="110" w:type="dxa"/>
            </w:tcMar>
          </w:tcPr>
          <w:p>
            <w:r>
              <w:rPr>
                <w:rFonts w:ascii="Lato" w:hAnsi="Lato"/>
                <w:b/>
                <w:color w:val="FFFFFF"/>
                <w:sz w:val="16"/>
              </w:rPr>
              <w:t>PARTE DIVULGANTE</w:t>
            </w:r>
          </w:p>
        </w:tc>
        <w:tc>
          <w:tcPr>
            <w:tcW w:type="dxa" w:w="4701"/>
            <w:shd w:fill="142B3E"/>
            <w:tcMar>
              <w:top w:w="120" w:type="dxa"/>
              <w:start w:w="110" w:type="dxa"/>
              <w:bottom w:w="115" w:type="dxa"/>
              <w:end w:w="110" w:type="dxa"/>
            </w:tcMar>
          </w:tcPr>
          <w:p>
            <w:r>
              <w:rPr>
                <w:rFonts w:ascii="Lato" w:hAnsi="Lato"/>
                <w:b/>
                <w:color w:val="FFFFFF"/>
                <w:sz w:val="16"/>
              </w:rPr>
              <w:t>PARTE RICEVENTE</w:t>
            </w:r>
          </w:p>
        </w:tc>
      </w:tr>
      <w:tr>
        <w:tc>
          <w:tcPr>
            <w:tcW w:type="dxa" w:w="4680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keepNext w:val="0"/>
              <w:spacing w:before="0" w:after="0" w:line="274" w:lineRule="auto"/>
            </w:pPr>
            <w:r>
              <w:rPr>
                <w:sz w:val="16"/>
              </w:rPr>
              <w:t>Firma: _________________________</w:t>
            </w:r>
          </w:p>
        </w:tc>
        <w:tc>
          <w:tcPr>
            <w:tcW w:type="dxa" w:w="4680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keepNext w:val="0"/>
              <w:spacing w:before="0" w:after="0" w:line="274" w:lineRule="auto"/>
            </w:pPr>
            <w:r>
              <w:rPr>
                <w:sz w:val="16"/>
              </w:rPr>
              <w:t>Firma: _________________________</w:t>
            </w:r>
          </w:p>
        </w:tc>
      </w:tr>
      <w:tr>
        <w:tc>
          <w:tcPr>
            <w:tcW w:type="dxa" w:w="4680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  <w:shd w:fill="F4F7F9"/>
          </w:tcPr>
          <w:p>
            <w:pPr>
              <w:keepNext w:val="0"/>
              <w:spacing w:before="0" w:after="0" w:line="274" w:lineRule="auto"/>
            </w:pPr>
            <w:r>
              <w:rPr>
                <w:sz w:val="16"/>
              </w:rPr>
              <w:t>Nome: _________________________</w:t>
            </w:r>
          </w:p>
        </w:tc>
        <w:tc>
          <w:tcPr>
            <w:tcW w:type="dxa" w:w="4680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  <w:shd w:fill="F4F7F9"/>
          </w:tcPr>
          <w:p>
            <w:pPr>
              <w:keepNext w:val="0"/>
              <w:spacing w:before="0" w:after="0" w:line="274" w:lineRule="auto"/>
            </w:pPr>
            <w:r>
              <w:rPr>
                <w:sz w:val="16"/>
              </w:rPr>
              <w:t>Nome: _________________________</w:t>
            </w:r>
          </w:p>
        </w:tc>
      </w:tr>
    </w:tbl>
    <w:p>
      <w:pPr>
        <w:spacing w:after="0"/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360"/>
      </w:tblGrid>
      <w:tr>
        <w:tc>
          <w:tcPr>
            <w:tcW w:type="dxa" w:w="9403"/>
            <w:shd w:fill="FFF2DA"/>
            <w:tcMar>
              <w:top w:w="130" w:type="dxa"/>
              <w:start w:w="150" w:type="dxa"/>
              <w:bottom w:w="125" w:type="dxa"/>
              <w:end w:w="150" w:type="dxa"/>
            </w:tcMar>
          </w:tcPr>
          <w:p>
            <w:pPr>
              <w:keepNext w:val="0"/>
              <w:spacing w:before="0" w:after="0" w:line="274" w:lineRule="auto"/>
            </w:pPr>
            <w:r>
              <w:rPr>
                <w:sz w:val="18"/>
              </w:rPr>
              <w:t>Materiale operativo di carattere generale: non costituisce consulenza d’investimento, invito al pubblico risparmio, attività di intermediazione o garanzia di rendimento. Il modello contrattuale richiede una valutazione legale e fiscale prima dell’utilizzo.</w:t>
            </w:r>
          </w:p>
        </w:tc>
      </w:tr>
    </w:tbl>
    <w:p>
      <w:pPr>
        <w:spacing w:after="0"/>
      </w:pPr>
    </w:p>
    <w:sectPr w:rsidR="00FC693F" w:rsidRPr="0006063C" w:rsidSect="00034616">
      <w:headerReference w:type="default" r:id="rId9"/>
      <w:footerReference w:type="default" r:id="rId10"/>
      <w:pgSz w:w="11909" w:h="16834"/>
      <w:pgMar w:top="1339" w:right="1253" w:bottom="1152" w:left="1253" w:header="475" w:footer="56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keepNext w:val="0"/>
      <w:spacing w:before="0" w:after="120" w:line="286" w:lineRule="auto"/>
    </w:pPr>
    <w:r>
      <w:rPr>
        <w:color w:val="627383"/>
        <w:sz w:val="14"/>
      </w:rPr>
      <w:t xml:space="preserve">imprendereora.com  |  Edizione 04.11.2026  •  </w:t>
    </w:r>
    <w:r/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keepNext w:val="0"/>
      <w:spacing w:before="0" w:after="80" w:line="286" w:lineRule="auto"/>
      <w:jc w:val="left"/>
      <w:pBdr>
        <w:bottom w:val="single" w:sz="8" w:color="DCE5EA"/>
      </w:pBdr>
    </w:pPr>
    <w:r>
      <w:rPr>
        <w:rFonts w:ascii="Lato" w:hAnsi="Lato"/>
        <w:b/>
        <w:color w:val="142B3E"/>
        <w:sz w:val="17"/>
      </w:rPr>
      <w:t>IMPRENDEREORA</w:t>
    </w:r>
    <w:r>
      <w:rPr>
        <w:color w:val="627383"/>
        <w:sz w:val="15"/>
      </w:rPr>
      <w:t xml:space="preserve">    /    MICRO-ANGEL  •  SEZIONE 3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8" w:lineRule="auto"/>
    </w:pPr>
    <w:rPr>
      <w:rFonts w:ascii="Lato" w:hAnsi="Lato"/>
      <w:color w:val="243343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20"/>
      <w:outlineLvl w:val="0"/>
    </w:pPr>
    <w:rPr>
      <w:rFonts w:asciiTheme="majorHAnsi" w:eastAsiaTheme="majorEastAsia" w:hAnsiTheme="majorHAnsi" w:cstheme="majorBidi" w:ascii="Lato" w:hAnsi="Lato"/>
      <w:b/>
      <w:bCs/>
      <w:color w:val="142B3E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/>
      <w:outlineLvl w:val="1"/>
    </w:pPr>
    <w:rPr>
      <w:rFonts w:asciiTheme="majorHAnsi" w:eastAsiaTheme="majorEastAsia" w:hAnsiTheme="majorHAnsi" w:cstheme="majorBidi" w:ascii="Lato" w:hAnsi="Lato"/>
      <w:b/>
      <w:bCs/>
      <w:color w:val="142B3E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120" w:line="240" w:lineRule="auto" w:before="280"/>
      <w:contextualSpacing/>
    </w:pPr>
    <w:rPr>
      <w:rFonts w:asciiTheme="majorHAnsi" w:eastAsiaTheme="majorEastAsia" w:hAnsiTheme="majorHAnsi" w:cstheme="majorBidi" w:ascii="Lato" w:hAnsi="Lato"/>
      <w:b/>
      <w:color w:val="142B3E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Kicker">
    <w:name w:val="Kicker"/>
    <w:rPr>
      <w:rFonts w:ascii="Lato" w:hAnsi="Lato"/>
      <w:b/>
      <w:color w:val="0C8F8A"/>
      <w:sz w:val="17"/>
    </w:rPr>
  </w:style>
  <w:style w:type="paragraph" w:customStyle="1" w:styleId="Smallish">
    <w:name w:val="Smallish"/>
    <w:rPr>
      <w:rFonts w:ascii="Lato" w:hAnsi="Lato"/>
      <w:color w:val="627383"/>
      <w:sz w:val="16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www.normattiva.it/atto/caricaDettaglioAtto?atto.codiceRedazionale=042U0262&amp;atto.dataPubblicazioneGazzetta=1942-04-04&amp;tipoDettaglio=vigente" TargetMode="External"/><Relationship Id="rId12" Type="http://schemas.openxmlformats.org/officeDocument/2006/relationships/hyperlink" Target="https://eur-lex.europa.eu/eli/reg/2016/679/oj/?locale=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