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MODELLO CONTRATTUALE</w:t>
      </w:r>
    </w:p>
    <w:p>
      <w:pPr>
        <w:pStyle w:val="Title"/>
      </w:pPr>
      <w:r>
        <w:t>Accordo di riservatezza (NDA)</w:t>
      </w:r>
    </w:p>
    <w:p>
      <w:pPr>
        <w:pStyle w:val="Deck"/>
      </w:pPr>
      <w:r>
        <w:t>Modello bilaterale per trattative aventi ad oggetto la possibile cessione, acquisizione o valorizzazione di un’azienda, di un ramo o di un marchio.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F3EDE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/>
                <w:color w:val="142B3E"/>
                <w:sz w:val="17"/>
              </w:rPr>
              <w:t>MODELLO CONTRATTUALE DA ADATTARE: bozza informativa, non sostituisce la revisione di un avvocato, notaio o consulente competente. Le parti devono verificare forma, validità ed effetti di ciascuna clausola.</w:t>
            </w:r>
          </w:p>
        </w:tc>
      </w:tr>
    </w:tbl>
    <w:p>
      <w:pPr>
        <w:pStyle w:val="SmallNote"/>
      </w:pPr>
      <w:r/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Campi tra [parentesi] da completare. Scegliere esplicitamente le clausole opzionali. Il presente modello non realizza una cessione né attribuisce diritti sul marchio.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Parti e scopo</w:t>
      </w:r>
    </w:p>
    <w:p>
      <w:pPr>
        <w:spacing w:after="120"/>
      </w:pPr>
      <w:r>
        <w:rPr>
          <w:b/>
          <w:color w:val="142B3E"/>
        </w:rPr>
        <w:t xml:space="preserve">Data e luogo  </w:t>
      </w:r>
      <w:r>
        <w:rPr>
          <w:color w:val="607282"/>
        </w:rPr>
        <w:t>[data], [luogo]</w:t>
      </w:r>
    </w:p>
    <w:p>
      <w:pPr>
        <w:spacing w:after="120"/>
      </w:pPr>
      <w:r>
        <w:rPr>
          <w:b/>
          <w:color w:val="142B3E"/>
        </w:rPr>
        <w:t xml:space="preserve">Parte A  </w:t>
      </w:r>
      <w:r>
        <w:rPr>
          <w:color w:val="607282"/>
        </w:rPr>
        <w:t>[ragione sociale / nome], [codice fiscale / P.IVA], [sede], [legale rappresentante]</w:t>
      </w:r>
    </w:p>
    <w:p>
      <w:pPr>
        <w:spacing w:after="120"/>
      </w:pPr>
      <w:r>
        <w:rPr>
          <w:b/>
          <w:color w:val="142B3E"/>
        </w:rPr>
        <w:t xml:space="preserve">Parte B  </w:t>
      </w:r>
      <w:r>
        <w:rPr>
          <w:color w:val="607282"/>
        </w:rPr>
        <w:t>[ragione sociale / nome], [codice fiscale / P.IVA], [sede], [legale rappresentante]</w:t>
      </w:r>
    </w:p>
    <w:p>
      <w:pPr>
        <w:spacing w:after="120"/>
      </w:pPr>
      <w:r>
        <w:rPr>
          <w:b/>
          <w:color w:val="142B3E"/>
        </w:rPr>
        <w:t xml:space="preserve">Operazione ipotizzata  </w:t>
      </w:r>
      <w:r>
        <w:rPr>
          <w:color w:val="607282"/>
        </w:rPr>
        <w:t>[cessione d’azienda / ramo / marchio / quote / licenza], avente oggetto [descrizione]</w:t>
      </w:r>
    </w:p>
    <w:p>
      <w:r>
        <w:t>Le Parti intendono esplorare esclusivamente la fattibilità dell’operazione sopra descritta (“Operazione”), senza assumere obbligo di concluderla. Poiché ciascuna Parte può comunicare dati riservati all’altra, convengono quanto segue.</w:t>
      </w:r>
    </w:p>
    <w:p>
      <w:pPr>
        <w:pStyle w:val="Heading1"/>
      </w:pPr>
      <w:r>
        <w:t>Art. 1 — Informazioni riservate</w:t>
      </w:r>
    </w:p>
    <w:p>
      <w:r>
        <w:t>Sono “Informazioni Riservate” le informazioni non pubbliche comunicate in forma scritta, elettronica, orale o tramite accesso a data room, che siano identificate come riservate o che per natura e contesto debbano ragionevolmente essere considerate tali: piani commerciali, bilanci, condizioni clienti/fornitori, formule produttive, know-how, documenti su marchi e licenze, contratti, processi, strategia, valutazioni e perfino l’esistenza delle trattative, se non pubblicamente nota.</w:t>
      </w:r>
    </w:p>
    <w:p>
      <w:pPr>
        <w:pStyle w:val="Heading1"/>
      </w:pPr>
      <w:r>
        <w:t>Art. 2 — Eccezioni</w:t>
      </w:r>
    </w:p>
    <w:p>
      <w:r>
        <w:t>Non rientrano nella riservatezza le informazioni che la Parte ricevente dimostri: (i) già pubbliche senza propria violazione; (ii) già legittimamente conosciute prima della divulgazione; (iii) ricevute lecitamente da terzi non vincolati; (iv) sviluppate indipendentemente senza uso di Informazioni Riservate. L’onere della prova delle eccezioni resta alla Parte che le invoca.</w:t>
      </w:r>
    </w:p>
    <w:p>
      <w:pPr>
        <w:pStyle w:val="Heading1"/>
      </w:pPr>
      <w:r>
        <w:t>Art. 3 — Finalità e divieti d’uso</w:t>
      </w:r>
    </w:p>
    <w:p>
      <w:r>
        <w:t>La Parte ricevente userà le Informazioni Riservate esclusivamente per analizzare, negoziare e valutare l’Operazione; non le userà per concorrere, contattare o acquisire clienti, replicare formule, sfruttare segni distintivi o aggirare la Parte divulgante. È vietata qualunque pubblicazione o comunicazione a terzi, salvo quanto previsto dall’articolo seguente.</w:t>
      </w:r>
    </w:p>
    <w:p>
      <w:pPr>
        <w:pStyle w:val="Heading1"/>
      </w:pPr>
      <w:r>
        <w:t>Art. 4 — Destinatari ammessi e misure di tutela</w:t>
      </w:r>
    </w:p>
    <w:p>
      <w:r>
        <w:t>La divulgazione è consentita soltanto a amministratori, dipendenti, finanziatori e professionisti che abbiano un effettivo bisogno di conoscere e siano vincolati a riservatezza almeno equivalente, nel rispetto delle norme applicabili. La Parte ricevente risponde dei propri destinatari secondo legge e si impegna a controllare accessi, copie e inoltri, adottando misure di sicurezza proporzionate.</w:t>
      </w:r>
    </w:p>
    <w:p>
      <w:pPr>
        <w:pStyle w:val="Heading1"/>
      </w:pPr>
      <w:r>
        <w:t>Art. 5 — Divieto di contatti non autorizzati (opzionale)</w:t>
      </w:r>
    </w:p>
    <w:p>
      <w:r>
        <w:t>[OPZIONE DA VALUTARE CON UN LEGALE] Per [6] mesi, salvo consenso scritto della Parte divulgante, la Parte ricevente evita contatti finalizzati a ottenere informazioni relative all’Operazione direttamente da [clienti strategici / fornitori / dipendenti] individuati nominativamente e conosciuti esclusivamente grazie alla due diligence. Restano esclusi rapporti già esistenti e attività indipendenti documentabili. Ambito, durata e legittimità devono essere valutati prima dell’uso.</w:t>
      </w:r>
    </w:p>
    <w:p>
      <w:pPr>
        <w:pStyle w:val="Heading1"/>
      </w:pPr>
      <w:r>
        <w:t>Art. 6 — Dati personali e accessi graduali</w:t>
      </w:r>
    </w:p>
    <w:p>
      <w:r>
        <w:t>Le Parti trattano soltanto dati personali pertinenti e necessari, secondo i ruoli privacy realmente assunti e la normativa applicabile. Nessuna disposizione di questo NDA costituisce, da sola, base giuridica per trasferire indiscriminatamente dati di dipendenti, clienti o fornitori. Prima di scambiare dataset personali, le Parti valutano minimizzazione, pseudonimizzazione, informative, sicurezza, base giuridica ed eventuale accordo distinto, se necessario.</w:t>
      </w:r>
    </w:p>
    <w:p>
      <w:pPr>
        <w:pStyle w:val="Heading1"/>
      </w:pPr>
      <w:r>
        <w:t>Art. 7 — Comunicazioni obbligatorie</w:t>
      </w:r>
    </w:p>
    <w:p>
      <w:r>
        <w:t>Se una divulgazione è imposta da legge o ordine di autorità competente, la Parte ricevente, ove lecito, informa tempestivamente l’altra Parte, limita la divulgazione a quanto richiesto e coopera per ottenere protezioni ragionevoli.</w:t>
      </w:r>
    </w:p>
    <w:p>
      <w:pPr>
        <w:pStyle w:val="Heading1"/>
      </w:pPr>
      <w:r>
        <w:t>Art. 8 — Proprietà e assenza di garanzie</w:t>
      </w:r>
    </w:p>
    <w:p>
      <w:r>
        <w:t>Le Informazioni Riservate restano nella titolarità dei legittimi aventi diritto. Non viene concessa alcuna licenza su marchi, copyright, brevetti o segreti commerciali. Salvo dolo o obblighi inderogabili di legge, la divulgazione preliminare non equivale a dichiarazione contrattuale di completezza o accuratezza dei dati: eventuali garanzie saranno negoziate nei contratti definitivi.</w:t>
      </w:r>
    </w:p>
    <w:p>
      <w:pPr>
        <w:pStyle w:val="Heading1"/>
      </w:pPr>
      <w:r>
        <w:t>Art. 9 — Restituzione o cancellazione</w:t>
      </w:r>
    </w:p>
    <w:p>
      <w:r>
        <w:t>Entro [15] giorni dalla richiesta scritta, la Parte ricevente restituisce o elimina i documenti e le copie ragionevolmente controllabili, salvo esemplari la cui conservazione sia richiesta da obblighi legali, regole professionali o backup non immediatamente accessibili: tali copie restano soggette agli obblighi di riservatezza fino alla cancellazione ordinaria.</w:t>
      </w:r>
    </w:p>
    <w:p>
      <w:pPr>
        <w:pStyle w:val="Heading1"/>
      </w:pPr>
      <w:r>
        <w:t>Art. 10 — Durata</w:t>
      </w:r>
    </w:p>
    <w:p>
      <w:r>
        <w:t>L’NDA entra in vigore alla sottoscrizione. Gli obblighi di riservatezza sopravvivono per [36] mesi dall’ultima divulgazione; per i segreti commerciali tutelabili ai sensi di legge, la protezione perdura fintanto che ne ricorrano i presupposti legali. Il recesso dalle trattative è libero salvo obblighi assunti separatamente.</w:t>
      </w:r>
    </w:p>
    <w:p>
      <w:pPr>
        <w:pStyle w:val="Heading1"/>
      </w:pPr>
      <w:r>
        <w:t>Art. 11 — Violazioni e rimedi</w:t>
      </w:r>
    </w:p>
    <w:p>
      <w:r>
        <w:t>Ogni Parte può chiedere tutela e risarcimento nei limiti di legge, provando i presupposti applicabili. Non è prevista alcuna penale automatica nel presente modello. Eventuali penali, divieti aggiuntivi o limitazioni di responsabilità richiedono negoziazione e revisione legale specifica.</w:t>
      </w:r>
    </w:p>
    <w:p>
      <w:pPr>
        <w:pStyle w:val="Heading1"/>
      </w:pPr>
      <w:r>
        <w:t>Art. 12 — Legge applicabile e controversie</w:t>
      </w:r>
    </w:p>
    <w:p>
      <w:r>
        <w:t>Legge applicabile: [italiana, se appropriata]. Foro o metodo di risoluzione: [indicare dopo verifica dell’assetto delle Parti, della materia e delle norme inderogabili]. Eventuali modifiche devono essere scritte e sottoscritte dai rappresentanti autorizzati.</w:t>
      </w:r>
    </w:p>
    <w:p>
      <w:pPr>
        <w:pStyle w:val="Heading1"/>
      </w:pPr>
      <w:r>
        <w:t>Sottoscrizione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20"/>
        <w:gridCol w:w="4620"/>
      </w:tblGrid>
      <w:tr>
        <w:trPr>
          <w:cantSplit/>
        </w:trPr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Parte A</w:t>
            </w:r>
          </w:p>
        </w:tc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Parte B</w:t>
            </w:r>
          </w:p>
        </w:tc>
      </w:tr>
      <w:tr>
        <w:trPr>
          <w:cantSplit/>
        </w:trPr>
        <w:tc>
          <w:tcPr>
            <w:tcW w:type="dxa" w:w="462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funzione]  _____________________</w:t>
              <w:br/>
              <w:t>Data: [  ]</w:t>
            </w:r>
          </w:p>
        </w:tc>
        <w:tc>
          <w:tcPr>
            <w:tcW w:type="dxa" w:w="462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/ funzione]  _____________________</w:t>
              <w:br/>
              <w:t>Data: [  ]</w:t>
            </w:r>
          </w:p>
        </w:tc>
      </w:tr>
    </w:tbl>
    <w:p>
      <w:pPr>
        <w:pStyle w:val="Heading1"/>
      </w:pPr>
      <w:r>
        <w:t>Allegato A — Protocollo di divulgazione progressiva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628"/>
        <w:gridCol w:w="3912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Materiali tipici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Controllo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1. Primo contatto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Teaser anonimo, metriche aggregate.</w:t>
            </w:r>
          </w:p>
        </w:tc>
        <w:tc>
          <w:tcPr>
            <w:tcW w:type="dxa" w:w="391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Verifica identità e pertinenza dell’interlocutore.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2. NDA sottoscritto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Scheda riservata, licenze e contratti essenziali redatti.</w:t>
            </w:r>
          </w:p>
        </w:tc>
        <w:tc>
          <w:tcPr>
            <w:tcW w:type="dxa" w:w="391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Nomi utenti e accessi con tracciamento.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3. Due diligence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Bilanci, contratti selezionati, IP, personale minimizzato.</w:t>
            </w:r>
          </w:p>
        </w:tc>
        <w:tc>
          <w:tcPr>
            <w:tcW w:type="dxa" w:w="391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Data room, logging, limitazione download.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4. Firma e closing</w:t>
            </w:r>
          </w:p>
        </w:tc>
        <w:tc>
          <w:tcPr>
            <w:tcW w:type="dxa" w:w="36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Originali e documenti completi se necessari.</w:t>
            </w:r>
          </w:p>
        </w:tc>
        <w:tc>
          <w:tcPr>
            <w:tcW w:type="dxa" w:w="391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Professionisti, titoli e consensi validati.</w:t>
            </w:r>
          </w:p>
        </w:tc>
      </w:tr>
    </w:tbl>
    <w:p>
      <w:pPr>
        <w:pStyle w:val="Heading1"/>
      </w:pPr>
      <w:r>
        <w:t>Allegato B — Registro dei documenti comunicati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4139"/>
        <w:gridCol w:w="3515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Data / ID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Descrizione del documento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Destinatario / permessi</w:t>
            </w:r>
          </w:p>
        </w:tc>
      </w:tr>
      <w:tr>
        <w:trPr>
          <w:cantSplit/>
        </w:trPr>
        <w:tc>
          <w:tcPr>
            <w:tcW w:type="dxa" w:w="158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413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[Contratto, bilancio, registro, ecc.]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autorizzato / sola lettura]</w:t>
            </w:r>
          </w:p>
        </w:tc>
      </w:tr>
      <w:tr>
        <w:trPr>
          <w:cantSplit/>
        </w:trPr>
        <w:tc>
          <w:tcPr>
            <w:tcW w:type="dxa" w:w="158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413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[Contratto, bilancio, registro, ecc.]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autorizzato / sola lettura]</w:t>
            </w:r>
          </w:p>
        </w:tc>
      </w:tr>
      <w:tr>
        <w:trPr>
          <w:cantSplit/>
        </w:trPr>
        <w:tc>
          <w:tcPr>
            <w:tcW w:type="dxa" w:w="158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4139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[Contratto, bilancio, registro, ecc.]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autorizzato / sola lettura]</w:t>
            </w:r>
          </w:p>
        </w:tc>
      </w:tr>
      <w:tr>
        <w:trPr>
          <w:cantSplit/>
        </w:trPr>
        <w:tc>
          <w:tcPr>
            <w:tcW w:type="dxa" w:w="158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 ]</w:t>
            </w:r>
          </w:p>
        </w:tc>
        <w:tc>
          <w:tcPr>
            <w:tcW w:type="dxa" w:w="4139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[Contratto, bilancio, registro, ecc.]</w:t>
            </w:r>
          </w:p>
        </w:tc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[Nome autorizzato / sola lettura]</w:t>
            </w:r>
          </w:p>
        </w:tc>
      </w:tr>
    </w:tbl>
    <w:p>
      <w:pPr>
        <w:spacing w:after="120"/>
      </w:pPr>
      <w:r>
        <w:rPr>
          <w:b/>
          <w:color w:val="142B3E"/>
        </w:rPr>
        <w:t xml:space="preserve">Amministratore della data room  </w:t>
      </w:r>
      <w:r>
        <w:rPr>
          <w:color w:val="607282"/>
        </w:rPr>
        <w:t>[Nominativo e ruolo]</w:t>
      </w:r>
    </w:p>
    <w:p>
      <w:pPr>
        <w:spacing w:after="120"/>
      </w:pPr>
      <w:r>
        <w:rPr>
          <w:b/>
          <w:color w:val="142B3E"/>
        </w:rPr>
        <w:t xml:space="preserve">Data chiusura accessi  </w:t>
      </w:r>
      <w:r>
        <w:rPr>
          <w:color w:val="607282"/>
        </w:rPr>
        <w:t>[gg/mm/aaaa]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F3EDE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/>
                <w:color w:val="142B3E"/>
                <w:sz w:val="17"/>
              </w:rPr>
              <w:t>ATTENZIONE: per la cessione d’azienda, occorrono eventuali formalità e atti separati. Il NDA protegge informazioni; non trasferisce azienda, marchio o lavoratori.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Fonti e riferimenti per la verifica</w:t>
      </w:r>
    </w:p>
    <w:p>
      <w:pPr>
        <w:pStyle w:val="SmallNote"/>
      </w:pPr>
      <w:r>
        <w:t>Verificato al 04.11.2026. Controllare la versione vigente e il caso concreto prima di utilizzare i modelli.</w:t>
      </w:r>
    </w:p>
    <w:p>
      <w:pPr>
        <w:pStyle w:val="SmallNote"/>
        <w:spacing w:after="40"/>
      </w:pPr>
      <w:r>
        <w:t xml:space="preserve">•  </w:t>
      </w:r>
      <w:r>
        <w:t xml:space="preserve">D.lgs. 30/2005, Codice della proprietà industriale — </w:t>
      </w:r>
      <w:hyperlink r:id="rId11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2556 (trasferimento d’azienda) — </w:t>
      </w:r>
      <w:hyperlink r:id="rId12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2112 (rapporti di lavoro nel trasferimento) — </w:t>
      </w:r>
      <w:hyperlink r:id="rId13">
        <w:r>
          <w:rPr>
            <w:color w:val="142B3E"/>
            <w:u w:val="single"/>
          </w:rPr>
          <w:t>apri fonte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05G0055&amp;atto.dataPubblicazioneGazzetta=2005-03-04&amp;tipoDettaglio=vigente" TargetMode="External"/><Relationship Id="rId12" Type="http://schemas.openxmlformats.org/officeDocument/2006/relationships/hyperlink" Target="https://def.finanze.it/DocTribFrontend/getAttoNormativoDetail.do?ACTION=getArticolo&amp;codiceOrdinamento=0000000000025560000000000000000000000000000000000000000000000000000000000000000000000000000000000000000000000000000000000000000000&amp;id=%7B9E93F1BE-06AE-4F24-8E9D-B838F7E0C2E6%7D" TargetMode="External"/><Relationship Id="rId13" Type="http://schemas.openxmlformats.org/officeDocument/2006/relationships/hyperlink" Target="https://www.lavoro.gov.it/temi-e-priorita/rapporti-di-lavoro-e-relazioni-industriali/focus-on/disciplina-rapporto-lavoro/pagine/trasferimento-d%27azie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di riservatezza (NDA)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