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02 / GUIDA DI RISCHIO</w:t>
      </w:r>
    </w:p>
    <w:p>
      <w:pPr>
        <w:pStyle w:val="Title"/>
        <w:keepNext w:val="0"/>
        <w:spacing w:before="0" w:after="100" w:line="259" w:lineRule="auto"/>
      </w:pPr>
      <w:r>
        <w:t>Aspettative realistiche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Rischio, tempi e diversificazione per investimenti diretti in PMI e startup non quotate.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Principio centrale:</w:t>
            </w:r>
            <w:r>
              <w:t xml:space="preserve"> puoi perdere il 100% del capitale. Una quota societaria non è un deposito, non ha rendimenti minimi e potrebbe non essere rivendibile per molti anni.</w:t>
            </w:r>
          </w:p>
        </w:tc>
      </w:tr>
    </w:tbl>
    <w:p>
      <w:pPr>
        <w:spacing w:after="0"/>
      </w:pPr>
    </w:p>
    <w:p>
      <w:pPr>
        <w:pStyle w:val="Heading1"/>
      </w:pPr>
      <w:r>
        <w:t>1. Sei rischi che devi distinguere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Perdita di capitale:</w:t>
      </w:r>
      <w:r>
        <w:t xml:space="preserve"> l’impresa può fallire o perdere valore, fino all’azzeramento della quota.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Illiquidità:</w:t>
      </w:r>
      <w:r>
        <w:t xml:space="preserve"> non esiste necessariamente un mercato dove rivendere; statuto e patti possono limitare le cessioni.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Diluizione:</w:t>
      </w:r>
      <w:r>
        <w:t xml:space="preserve"> successivi aumenti di capitale riducono la percentuale se non partecipi e non hai tutele negoziate.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Rischio di esecuzione:</w:t>
      </w:r>
      <w:r>
        <w:t xml:space="preserve"> vendite, prodotto, assunzioni, licenze o finanziamenti possono non arrivare in tempo.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Rischio informativo:</w:t>
      </w:r>
      <w:r>
        <w:t xml:space="preserve"> un investitore di minoranza può avere minore visibilità, salvo diritti adeguati.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Rischio di concentrazione:</w:t>
      </w:r>
      <w:r>
        <w:t xml:space="preserve"> più progetti dello stesso settore possono fallire per la medesima causa.</w:t>
      </w:r>
    </w:p>
    <w:p>
      <w:pPr>
        <w:pStyle w:val="Heading1"/>
      </w:pPr>
      <w:r>
        <w:t>2. Quanto dura un investimento?</w:t>
      </w:r>
    </w:p>
    <w:p>
      <w:pPr>
        <w:keepNext w:val="0"/>
        <w:spacing w:before="0" w:after="140" w:line="286" w:lineRule="auto"/>
      </w:pPr>
      <w:r>
        <w:t xml:space="preserve">La pagina Micro-Angel cita un orizzonte indicativo di </w:t>
      </w:r>
      <w:r>
        <w:rPr>
          <w:b/>
        </w:rPr>
        <w:t>3–5 anni</w:t>
      </w:r>
      <w:r>
        <w:t>. È una finestra di pianificazione, non una scadenza contrattuale né una promessa di exit. In concreto, il recupero può richiedere molto più tempo, non avvenire o dipendere dalla capacità dell’impresa di distribuire dividendi.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3960"/>
        <w:gridCol w:w="3096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Cosa accade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Implicazione</w:t>
            </w:r>
          </w:p>
        </w:tc>
      </w:tr>
      <w:tr>
        <w:tc>
          <w:tcPr>
            <w:tcW w:type="dxa" w:w="21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Esito negativo</w:t>
            </w:r>
          </w:p>
        </w:tc>
        <w:tc>
          <w:tcPr>
            <w:tcW w:type="dxa" w:w="39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L’impresa esaurisce la cassa e non si rifinanzia.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Il valore della partecipazione può arrivare a zero.</w:t>
            </w:r>
          </w:p>
        </w:tc>
      </w:tr>
      <w:tr>
        <w:tc>
          <w:tcPr>
            <w:tcW w:type="dxa" w:w="21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Esito intermedio</w:t>
            </w:r>
          </w:p>
        </w:tc>
        <w:tc>
          <w:tcPr>
            <w:tcW w:type="dxa" w:w="39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L’impresa opera ma non trova acquirenti per le quote.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Potresti non poter monetizzare per anni.</w:t>
            </w:r>
          </w:p>
        </w:tc>
      </w:tr>
      <w:tr>
        <w:tc>
          <w:tcPr>
            <w:tcW w:type="dxa" w:w="21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Esito positivo</w:t>
            </w:r>
          </w:p>
        </w:tc>
        <w:tc>
          <w:tcPr>
            <w:tcW w:type="dxa" w:w="39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Crescono utili o valutazione, ma non esiste exit.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Guadagno teorico ≠ liquidità disponibile.</w:t>
            </w:r>
          </w:p>
        </w:tc>
      </w:tr>
      <w:tr>
        <w:tc>
          <w:tcPr>
            <w:tcW w:type="dxa" w:w="21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Cessione / dividendo</w:t>
            </w:r>
          </w:p>
        </w:tc>
        <w:tc>
          <w:tcPr>
            <w:tcW w:type="dxa" w:w="39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L’impresa distribuisce utili o avviene una vendita.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Contano imposte, costi, patti e ordine dei diritti.</w:t>
            </w:r>
          </w:p>
        </w:tc>
      </w:tr>
    </w:tbl>
    <w:p>
      <w:pPr>
        <w:spacing w:after="0"/>
      </w:pPr>
    </w:p>
    <w:p>
      <w:pPr>
        <w:pStyle w:val="Heading1"/>
      </w:pPr>
      <w:r>
        <w:t>3. Diversificazione: non basta contare le startup</w:t>
      </w:r>
    </w:p>
    <w:p>
      <w:pPr>
        <w:keepNext w:val="0"/>
        <w:spacing w:before="0" w:after="140" w:line="286" w:lineRule="auto"/>
      </w:pPr>
      <w:r>
        <w:t>Diversificare significa ridurre la dipendenza da un singolo progetto, settore, territorio, founder o modello commerciale. Non elimina il rischio di perdita, né rende un portafoglio di startup automaticamente prudente.</w:t>
      </w:r>
    </w:p>
    <w:p>
      <w:pPr>
        <w:pStyle w:val="ListBullet"/>
        <w:keepNext w:val="0"/>
        <w:spacing w:before="0" w:after="100" w:line="276" w:lineRule="auto"/>
      </w:pPr>
      <w:r>
        <w:t xml:space="preserve">Definisci una quota massima del tuo patrimonio complessivo da destinare </w:t>
      </w:r>
      <w:r>
        <w:rPr>
          <w:b/>
        </w:rPr>
        <w:t>a investimenti illiquidi e ad alto rischio</w:t>
      </w:r>
      <w:r>
        <w:t>, con un professionista se necessario.</w:t>
      </w:r>
    </w:p>
    <w:p>
      <w:pPr>
        <w:pStyle w:val="ListBullet"/>
        <w:keepNext w:val="0"/>
        <w:spacing w:before="0" w:after="100" w:line="276" w:lineRule="auto"/>
      </w:pPr>
      <w:r>
        <w:t>Evita di immobilizzare denaro che potrebbe servirti per emergenze, imposte, casa, famiglia o attività principale.</w:t>
      </w:r>
    </w:p>
    <w:p>
      <w:pPr>
        <w:pStyle w:val="ListBullet"/>
        <w:keepNext w:val="0"/>
        <w:spacing w:before="0" w:after="100" w:line="276" w:lineRule="auto"/>
      </w:pPr>
      <w:r>
        <w:t>Valuta l’eventuale concentrazione geografica e di settore, la correlazione dei clienti e l’esposizione agli stessi fattori macroeconomici.</w:t>
      </w:r>
    </w:p>
    <w:p>
      <w:pPr>
        <w:pStyle w:val="ListBullet"/>
        <w:keepNext w:val="0"/>
        <w:spacing w:before="0" w:after="100" w:line="276" w:lineRule="auto"/>
      </w:pPr>
      <w:r>
        <w:t>Non “recuperare” una perdita aggiungendo capitale soltanto perché hai già investito: riesamina il caso da zero.</w:t>
      </w:r>
    </w:p>
    <w:p>
      <w:pPr>
        <w:pStyle w:val="ListBullet"/>
        <w:keepNext w:val="0"/>
        <w:spacing w:before="0" w:after="100" w:line="276" w:lineRule="auto"/>
      </w:pPr>
      <w:r>
        <w:t>Considera che più piccoli investimenti comportano anche tempo di selezione, controllo, atti e fiscalità.</w:t>
      </w:r>
    </w:p>
    <w:p>
      <w:pPr>
        <w:pStyle w:val="Heading1"/>
      </w:pPr>
      <w:r>
        <w:t>4. Tre esempi numerici (simulazioni, non previsioni)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1584"/>
        <w:gridCol w:w="2448"/>
        <w:gridCol w:w="3240"/>
      </w:tblGrid>
      <w:tr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Caso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Investimento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Valore finale lordo ipotetico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Nota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Perdita totale</w:t>
            </w:r>
          </w:p>
        </w:tc>
        <w:tc>
          <w:tcPr>
            <w:tcW w:type="dxa" w:w="15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€ 10.000</w:t>
            </w:r>
          </w:p>
        </w:tc>
        <w:tc>
          <w:tcPr>
            <w:tcW w:type="dxa" w:w="244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€ 0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−100% prima di costi fiscali.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Valore invariato</w:t>
            </w:r>
          </w:p>
        </w:tc>
        <w:tc>
          <w:tcPr>
            <w:tcW w:type="dxa" w:w="15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€ 20.000</w:t>
            </w:r>
          </w:p>
        </w:tc>
        <w:tc>
          <w:tcPr>
            <w:tcW w:type="dxa" w:w="244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€ 20.000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Non implica vendibilità delle quote.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Valore raddoppiato</w:t>
            </w:r>
          </w:p>
        </w:tc>
        <w:tc>
          <w:tcPr>
            <w:tcW w:type="dxa" w:w="15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€ 30.000</w:t>
            </w:r>
          </w:p>
        </w:tc>
        <w:tc>
          <w:tcPr>
            <w:tcW w:type="dxa" w:w="244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€ 60.000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Valore teorico, realizzo non garantito.</w:t>
            </w:r>
          </w:p>
        </w:tc>
      </w:tr>
    </w:tbl>
    <w:p>
      <w:pPr>
        <w:spacing w:after="0"/>
      </w:pPr>
    </w:p>
    <w:p>
      <w:pPr>
        <w:pStyle w:val="Heading1"/>
      </w:pPr>
      <w:r>
        <w:t>5. Se investi anche competenze, quantifica il costo</w:t>
      </w:r>
    </w:p>
    <w:p>
      <w:pPr>
        <w:keepNext w:val="0"/>
        <w:spacing w:before="0" w:after="140" w:line="286" w:lineRule="auto"/>
      </w:pPr>
      <w:r>
        <w:t xml:space="preserve">Se affianchi il founder per </w:t>
      </w:r>
      <w:r>
        <w:rPr>
          <w:b/>
        </w:rPr>
        <w:t>6 ore al mese</w:t>
      </w:r>
      <w:r>
        <w:t xml:space="preserve">, in 24 mesi dedicherai </w:t>
      </w:r>
      <w:r>
        <w:rPr>
          <w:b/>
        </w:rPr>
        <w:t>144 ore</w:t>
      </w:r>
      <w:r>
        <w:t>: tempo che ha un costo-opportunità. Evita di sommare informalmente “capitale + ore” a una percentuale di quote senza definire separatamente compenso, obblighi, risultati, responsabilità e proprietà intellettuale.</w:t>
      </w:r>
    </w:p>
    <w:p>
      <w:pPr>
        <w:pStyle w:val="Heading1"/>
      </w:pPr>
      <w:r>
        <w:t>6. La tua verifica prima di dire sì</w:t>
      </w:r>
    </w:p>
    <w:p>
      <w:pPr>
        <w:keepNext w:val="0"/>
        <w:spacing w:before="0" w:after="140" w:line="274" w:lineRule="auto"/>
      </w:pPr>
      <w:r>
        <w:t>☐  Accetterei la perdita integrale dell’importo senza compromettere esigenze essenziali?</w:t>
      </w:r>
    </w:p>
    <w:p>
      <w:pPr>
        <w:keepNext w:val="0"/>
        <w:spacing w:before="0" w:after="140" w:line="274" w:lineRule="auto"/>
      </w:pPr>
      <w:r>
        <w:t>☐  Conosco i vincoli di uscita e l’eventuale diluizione futura?</w:t>
      </w:r>
    </w:p>
    <w:p>
      <w:pPr>
        <w:keepNext w:val="0"/>
        <w:spacing w:before="0" w:after="140" w:line="274" w:lineRule="auto"/>
      </w:pPr>
      <w:r>
        <w:t>☐  Ho una spiegazione scritta della valutazione, dei diritti e dell’uso dei fondi?</w:t>
      </w:r>
    </w:p>
    <w:p>
      <w:pPr>
        <w:keepNext w:val="0"/>
        <w:spacing w:before="0" w:after="140" w:line="274" w:lineRule="auto"/>
      </w:pPr>
      <w:r>
        <w:t>☐  Ho letto e compreso i principali scenari negativi e le clausole di governance?</w:t>
      </w:r>
    </w:p>
    <w:p>
      <w:pPr>
        <w:keepNext w:val="0"/>
        <w:spacing w:before="0" w:after="140" w:line="274" w:lineRule="auto"/>
      </w:pPr>
      <w:r>
        <w:t>☐  Il mio eventuale ruolo consulenziale è formalizzato a parte?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Verificare i documenti con professionisti qualificati prima di assumere obbligazioni.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CONSOB, educazione finanziaria: diversificazione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ImprendereOra, Micro-Angel — </w:t>
      </w:r>
      <w:hyperlink r:id="rId12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EUR-Lex, regole crowdfunding UE (campo distinto dalle trattative private) — </w:t>
      </w:r>
      <w:hyperlink r:id="rId13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onsob.it/web/investor-education/la-diversificazione" TargetMode="External"/><Relationship Id="rId12" Type="http://schemas.openxmlformats.org/officeDocument/2006/relationships/hyperlink" Target="https://imprendereora.com/micro-angel" TargetMode="External"/><Relationship Id="rId13" Type="http://schemas.openxmlformats.org/officeDocument/2006/relationships/hyperlink" Target="https://eur-lex.europa.eu/legal-content/IT/ALL/?uri=CELEX:32020R1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