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Next w:val="0"/>
        <w:spacing w:before="240" w:after="80" w:line="286" w:lineRule="auto"/>
      </w:pPr>
      <w:r>
        <w:t>06 / MODELLO PRECONTRATTUALE</w:t>
      </w:r>
    </w:p>
    <w:p>
      <w:pPr>
        <w:pStyle w:val="Title"/>
        <w:keepNext w:val="0"/>
        <w:spacing w:before="0" w:after="100" w:line="259" w:lineRule="auto"/>
      </w:pPr>
      <w:r>
        <w:t>Lettera d’intenti per collaborazione</w:t>
      </w:r>
    </w:p>
    <w:p>
      <w:pPr>
        <w:keepNext w:val="0"/>
        <w:spacing w:before="0" w:after="280" w:line="286" w:lineRule="auto"/>
      </w:pPr>
      <w:r>
        <w:rPr>
          <w:color w:val="627383"/>
          <w:sz w:val="21"/>
        </w:rPr>
        <w:t>Modello per concordare un percorso di valutazione reciproca senza promettere quote o firmare un contratto definitivo.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8"/>
              </w:rPr>
              <w:t>BOZZA DA PERSONALIZZARE E SOTTOPORRE A UN AVVOCATO. Non firmare senza verificare forma societaria, parti, clausole e adempimenti.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b/>
                <w:sz w:val="18"/>
              </w:rPr>
              <w:t>Distinzione essenziale:</w:t>
            </w:r>
            <w:r>
              <w:t xml:space="preserve"> la proposta di collaborazione, il percorso di prova e l’eventuale ingresso in società sono qui </w:t>
            </w:r>
            <w:r>
              <w:rPr>
                <w:b/>
              </w:rPr>
              <w:t>NON VINCOLANTI</w:t>
            </w:r>
            <w:r>
              <w:t>, salvo le sole clausole contrassegnate come vincolanti e sottoscritte. Durante le trattative resta il dovere di buona fede ex art. 1337 c.c.</w:t>
            </w:r>
          </w:p>
        </w:tc>
      </w:tr>
    </w:tbl>
    <w:p>
      <w:pPr>
        <w:spacing w:after="0"/>
      </w:pPr>
    </w:p>
    <w:p>
      <w:pPr>
        <w:keepNext w:val="0"/>
        <w:spacing w:before="0" w:after="140" w:line="286" w:lineRule="auto"/>
      </w:pPr>
      <w:r>
        <w:rPr>
          <w:b/>
        </w:rPr>
        <w:t>Mittente A:</w:t>
      </w:r>
      <w:r>
        <w:t xml:space="preserve"> [____]  |  </w:t>
      </w:r>
      <w:r>
        <w:rPr>
          <w:b/>
        </w:rPr>
        <w:t>Destinatario B:</w:t>
      </w:r>
      <w:r>
        <w:t xml:space="preserve"> [____]  |  </w:t>
      </w:r>
      <w:r>
        <w:rPr>
          <w:b/>
        </w:rPr>
        <w:t>Progetto:</w:t>
      </w:r>
      <w:r>
        <w:t xml:space="preserve"> [____]  |  </w:t>
      </w:r>
      <w:r>
        <w:rPr>
          <w:b/>
        </w:rPr>
        <w:t>Data:</w:t>
      </w:r>
      <w:r>
        <w:t xml:space="preserve"> [____]</w:t>
      </w:r>
    </w:p>
    <w:p>
      <w:pPr>
        <w:pStyle w:val="Heading1"/>
      </w:pPr>
      <w:r>
        <w:t>A. Intenzioni e percorso — NON VINCOLANTI</w:t>
      </w:r>
    </w:p>
    <w:p>
      <w:pPr>
        <w:pStyle w:val="Heading2"/>
      </w:pPr>
      <w:r>
        <w:t>1. Obiettivo</w:t>
      </w:r>
    </w:p>
    <w:p>
      <w:pPr>
        <w:keepNext w:val="0"/>
        <w:spacing w:before="0" w:after="140" w:line="286" w:lineRule="auto"/>
      </w:pPr>
      <w:r>
        <w:t>Le Parti valutano una collaborazione sul progetto [____], per risolvere il problema [____] e verificare la fattibilità della gestione comune.</w:t>
      </w:r>
    </w:p>
    <w:p>
      <w:pPr>
        <w:pStyle w:val="Heading2"/>
      </w:pPr>
      <w:r>
        <w:t>2. Ruoli ipotizzati</w:t>
      </w:r>
    </w:p>
    <w:p>
      <w:pPr>
        <w:keepNext w:val="0"/>
        <w:spacing w:before="0" w:after="140" w:line="286" w:lineRule="auto"/>
      </w:pPr>
      <w:r>
        <w:t>A: [____]; B: [____]. Non sono ancora attribuiti poteri societari o di rappresentanza. Le Parti potranno modificare ruolo e impegno dopo il periodo di prova.</w:t>
      </w:r>
    </w:p>
    <w:p>
      <w:pPr>
        <w:pStyle w:val="Heading2"/>
      </w:pPr>
      <w:r>
        <w:t>3. Test operativo</w:t>
      </w:r>
    </w:p>
    <w:p>
      <w:pPr>
        <w:keepNext w:val="0"/>
        <w:spacing w:before="0" w:after="140" w:line="286" w:lineRule="auto"/>
      </w:pPr>
      <w:r>
        <w:t>Periodo: [30] giorni dal [____] al [____]. Output concreto [____]; criterio di accettazione [____]; limite di spesa €[____]; strumenti e dati consentiti [____].</w:t>
      </w:r>
    </w:p>
    <w:p>
      <w:pPr>
        <w:pStyle w:val="Heading2"/>
      </w:pPr>
      <w:r>
        <w:t>4. Risorse e costi</w:t>
      </w:r>
    </w:p>
    <w:p>
      <w:pPr>
        <w:keepNext w:val="0"/>
        <w:spacing w:before="0" w:after="140" w:line="286" w:lineRule="auto"/>
      </w:pPr>
      <w:r>
        <w:t>Ogni Parte sostiene i propri costi, salvo autorizzazione scritta specifica; eventuali prestazioni remunerate richiedono separato accordo con trattamento fiscale e previdenziale verificato.</w:t>
      </w:r>
    </w:p>
    <w:p>
      <w:pPr>
        <w:pStyle w:val="Heading2"/>
      </w:pPr>
      <w:r>
        <w:t>5. Ipotesi societarie</w:t>
      </w:r>
    </w:p>
    <w:p>
      <w:pPr>
        <w:keepNext w:val="0"/>
        <w:spacing w:before="0" w:after="140" w:line="286" w:lineRule="auto"/>
      </w:pPr>
      <w:r>
        <w:t>Partecipazione o quote eventualmente da discutere: [____]. Nessuna quota viene assegnata, promossa come certa o trasferita con questa lettera; subordinare la decisione a due diligence, atti, statuto e accordi esecutivi.</w:t>
      </w:r>
    </w:p>
    <w:p>
      <w:pPr>
        <w:pStyle w:val="Heading2"/>
      </w:pPr>
      <w:r>
        <w:t>6. Tappe e decisione</w:t>
      </w:r>
    </w:p>
    <w:p>
      <w:pPr>
        <w:keepNext w:val="0"/>
        <w:spacing w:before="0" w:after="140" w:line="286" w:lineRule="auto"/>
      </w:pPr>
      <w:r>
        <w:t>Entro [data], confronto su risultati, tempo disponibile, integrità, rischi, governance e proprietà intellettuale. A esito positivo, le Parti potranno negoziare gli accordi definitivi; altrimenti possono interrompere le trattative secondo legge.</w:t>
      </w:r>
    </w:p>
    <w:p>
      <w:pPr>
        <w:pStyle w:val="Heading1"/>
      </w:pPr>
      <w:r>
        <w:t>B. Clausole eventualmente VINCOLANTI — DA SELEZIONARE</w:t>
      </w:r>
    </w:p>
    <w:p>
      <w:pPr>
        <w:keepNext w:val="0"/>
        <w:spacing w:before="0" w:after="140" w:line="286" w:lineRule="auto"/>
      </w:pPr>
      <w:r>
        <w:rPr>
          <w:b/>
        </w:rPr>
        <w:t>Se non intendete renderle vincolanti, cancellatele.</w:t>
      </w:r>
      <w:r>
        <w:t xml:space="preserve"> La lettera NON contiene un impegno a costituire società, a conferire capitale o ad attribuire partecipazioni.</w:t>
      </w:r>
    </w:p>
    <w:p>
      <w:pPr>
        <w:pStyle w:val="Heading2"/>
      </w:pPr>
      <w:r>
        <w:t>7. Riservatezza — [☐ VINCOLANTE / ☐ NON APPLICABILE]</w:t>
      </w:r>
    </w:p>
    <w:p>
      <w:pPr>
        <w:keepNext w:val="0"/>
        <w:spacing w:before="0" w:after="140" w:line="286" w:lineRule="auto"/>
      </w:pPr>
      <w:r>
        <w:t>Le Parti mantengono riservate le informazioni confidenziali scambiate per il progetto per [12] mesi, escluse quelle già pubbliche, lecitimamente note o sviluppate autonomamente. Le divulgazioni obbligatorie per legge sono consentite nei limiti necessari. In alternativa richiamare NDA separato [data].</w:t>
      </w:r>
    </w:p>
    <w:p>
      <w:pPr>
        <w:pStyle w:val="Heading2"/>
      </w:pPr>
      <w:r>
        <w:t>8. Uso dei materiali e accessi — [☐ VINCOLANTE / ☐ NON APPLICABILE]</w:t>
      </w:r>
    </w:p>
    <w:p>
      <w:pPr>
        <w:keepNext w:val="0"/>
        <w:spacing w:before="0" w:after="140" w:line="286" w:lineRule="auto"/>
      </w:pPr>
      <w:r>
        <w:t>I documenti e gli asset preesistenti restano dei rispettivi titolari. Le Parti possono utilizzarli unicamente per la prova concordata; alla cessazione interrompono accessi e restituiscono i materiali, salvo obblighi di conservazione. L’eventuale titolarità delle nuove opere richiede separato accordo scritto.</w:t>
      </w:r>
    </w:p>
    <w:p>
      <w:pPr>
        <w:pStyle w:val="Heading2"/>
      </w:pPr>
      <w:r>
        <w:t>9. Esclusiva — [☐ NON PREVISTA / ☐ VINCOLANTE SOLO SE COMPILATA]</w:t>
      </w:r>
    </w:p>
    <w:p>
      <w:pPr>
        <w:keepNext w:val="0"/>
        <w:spacing w:before="0" w:after="140" w:line="286" w:lineRule="auto"/>
      </w:pPr>
      <w:r>
        <w:t xml:space="preserve">Ambito [____], territorio [____], durata massima [____], attività vietate [____], eccezioni [____]. </w:t>
      </w:r>
      <w:r>
        <w:rPr>
          <w:b/>
        </w:rPr>
        <w:t>Non applicare senza verifica legale</w:t>
      </w:r>
      <w:r>
        <w:t xml:space="preserve"> di proporzionalità, liceità e impatto sulla concorrenza.</w:t>
      </w:r>
    </w:p>
    <w:p>
      <w:pPr>
        <w:pStyle w:val="Heading2"/>
      </w:pPr>
      <w:r>
        <w:t>10. Comunicazioni e legge applicabile — [☐ VINCOLANTE / ☐ NON APPLICABILE]</w:t>
      </w:r>
    </w:p>
    <w:p>
      <w:pPr>
        <w:keepNext w:val="0"/>
        <w:spacing w:before="0" w:after="140" w:line="286" w:lineRule="auto"/>
      </w:pPr>
      <w:r>
        <w:t>Le comunicazioni avverranno agli indirizzi [____]. Per le sole clausole espressamente vincolanti si applica la legge italiana; eventuale foro [____] nei limiti di validità e previa revisione professionale.</w:t>
      </w:r>
    </w:p>
    <w:p>
      <w:pPr>
        <w:pStyle w:val="Heading1"/>
      </w:pPr>
      <w:r>
        <w:t>C. Natura dell’accordo e firme</w:t>
      </w:r>
    </w:p>
    <w:p>
      <w:pPr>
        <w:keepNext w:val="0"/>
        <w:spacing w:before="0" w:after="140" w:line="286" w:lineRule="auto"/>
      </w:pPr>
      <w:r>
        <w:t>Salve le clausole espressamente selezionate come vincolanti, il testo esprime esclusivamente intenti e parametri di possibile collaborazione e non obbliga a concludere un contratto finale. Restano fermi gli obblighi di buona fede precontrattuale previsti dalla legge.</w:t>
      </w:r>
    </w:p>
    <w:p>
      <w:pPr>
        <w:keepNext w:val="0"/>
        <w:spacing w:before="0" w:after="180" w:line="271" w:lineRule="auto"/>
      </w:pPr>
      <w:r>
        <w:rPr>
          <w:b/>
        </w:rPr>
        <w:t xml:space="preserve">Verifica reciproca conclusa in data  </w:t>
      </w:r>
      <w:r>
        <w:t>____________________________________________________________</w:t>
      </w:r>
    </w:p>
    <w:p>
      <w:pPr>
        <w:keepNext w:val="0"/>
        <w:spacing w:before="0" w:after="180" w:line="271" w:lineRule="auto"/>
      </w:pPr>
      <w:r>
        <w:rPr>
          <w:b/>
        </w:rPr>
        <w:t xml:space="preserve">Decisione operativa (non vincolante)  </w:t>
      </w:r>
      <w:r>
        <w:t>____________________________________________________________</w:t>
      </w:r>
    </w:p>
    <w:p>
      <w:pPr>
        <w:keepNext w:val="0"/>
        <w:spacing w:before="0" w:after="140" w:line="286" w:lineRule="auto"/>
      </w:pPr>
      <w:r>
        <w:rPr>
          <w:b/>
        </w:rPr>
        <w:t>Luogo/data:</w:t>
      </w:r>
      <w:r>
        <w:t xml:space="preserve"> [____________]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70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PARTE A</w:t>
            </w:r>
          </w:p>
        </w:tc>
        <w:tc>
          <w:tcPr>
            <w:tcW w:type="dxa" w:w="470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PARTE B</w:t>
            </w:r>
          </w:p>
        </w:tc>
      </w:tr>
      <w:tr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Firma: ________________________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Firma: ________________________</w:t>
            </w:r>
          </w:p>
        </w:tc>
      </w:tr>
      <w:tr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Nome: ________________________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Nome: ________________________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t>Strumento educativo e operativo: non costituisce consulenza legale, fiscale o finanziaria. Il modello contrattuale deve essere adattato alla forma societaria e verificato da un avvocato prima della firma.</w:t>
            </w:r>
          </w:p>
        </w:tc>
      </w:tr>
    </w:tbl>
    <w:p>
      <w:pPr>
        <w:spacing w:after="0"/>
      </w:pPr>
    </w:p>
    <w:p>
      <w:pPr>
        <w:pStyle w:val="Heading1"/>
      </w:pPr>
      <w:r>
        <w:t>Fonti e riferimenti di verifica</w:t>
      </w:r>
    </w:p>
    <w:p>
      <w:pPr>
        <w:keepNext w:val="0"/>
        <w:spacing w:before="0" w:after="80" w:line="286" w:lineRule="auto"/>
      </w:pPr>
      <w:r>
        <w:rPr>
          <w:sz w:val="16"/>
        </w:rPr>
        <w:t xml:space="preserve">•  Art. 1337 c.c. – Ministero dell’Economia e Finanze — </w:t>
      </w:r>
      <w:hyperlink r:id="rId11">
        <w:r>
          <w:rPr>
            <w:color w:val="0C8F8A"/>
            <w:u w:val="single"/>
          </w:rPr>
          <w:t>Apri fonte ufficiale</w:t>
        </w:r>
      </w:hyperlink>
    </w:p>
    <w:p>
      <w:pPr>
        <w:keepNext w:val="0"/>
        <w:spacing w:before="0" w:after="80" w:line="286" w:lineRule="auto"/>
      </w:pPr>
      <w:r>
        <w:rPr>
          <w:sz w:val="16"/>
        </w:rPr>
        <w:t xml:space="preserve">•  Codice civile – Normattiva — </w:t>
      </w:r>
      <w:hyperlink r:id="rId12">
        <w:r>
          <w:rPr>
            <w:color w:val="0C8F8A"/>
            <w:u w:val="single"/>
          </w:rPr>
          <w:t>Apri fonte ufficiale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339" w:right="1253" w:bottom="1152" w:left="1253" w:header="475" w:footer="56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120" w:line="286" w:lineRule="auto"/>
    </w:pPr>
    <w:r>
      <w:rPr>
        <w:color w:val="627383"/>
        <w:sz w:val="14"/>
      </w:rPr>
      <w:t xml:space="preserve">imprendereora.com  |  Edizione 04.11.2026  •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80" w:line="286" w:lineRule="auto"/>
      <w:jc w:val="left"/>
      <w:pBdr>
        <w:bottom w:val="single" w:sz="8" w:color="DCE5EA"/>
      </w:pBdr>
    </w:pPr>
    <w:r>
      <w:rPr>
        <w:rFonts w:ascii="Lato" w:hAnsi="Lato"/>
        <w:b/>
        <w:color w:val="142B3E"/>
        <w:sz w:val="17"/>
      </w:rPr>
      <w:t>IMPRENDEREORA</w:t>
    </w:r>
    <w:r>
      <w:rPr>
        <w:color w:val="627383"/>
        <w:sz w:val="15"/>
      </w:rPr>
      <w:t xml:space="preserve">    /    MATCHING SOCIO–SOCIO  •  SEZIONE 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Lato" w:hAnsi="Lato"/>
      <w:color w:val="24334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8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rPr>
      <w:rFonts w:ascii="Lato" w:hAnsi="Lato"/>
      <w:b/>
      <w:color w:val="0C8F8A"/>
      <w:sz w:val="17"/>
    </w:rPr>
  </w:style>
  <w:style w:type="paragraph" w:customStyle="1" w:styleId="Smallish">
    <w:name w:val="Smallish"/>
    <w:rPr>
      <w:rFonts w:ascii="Lato" w:hAnsi="Lato"/>
      <w:color w:val="62738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ef.giustiziatributaria.gov.it/DocTribFrontend/executePrintArticolo.do?FROM_SEARCH=true&amp;codiceOrdinamento=0000000000013370000000000000000000000000000000000000000000000000000000000000000000000000000000000000000000000000000000000000&amp;id=%7B2A773C69-D0AD-43C1-8499-D69A31530555%7D&amp;idAttoNormativo=%7B9E93F1BE-06AE-4F24-8E9D-B838F7E0C2E6%7D&amp;numeroArticolo=Articolo+1337" TargetMode="External"/><Relationship Id="rId12" Type="http://schemas.openxmlformats.org/officeDocument/2006/relationships/hyperlink" Target="https://www.normattiva.it/atto/caricaDettaglioAtto?atto.codiceRedazionale=042U0262&amp;atto.dataPubblicazioneGazzetta=1942-04-04&amp;tipoDettaglio=vigen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