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Kicker"/>
      </w:pPr>
      <w:r>
        <w:t>05 / BRAND STORICI   •   MODELLO DI OFFERTA</w:t>
      </w:r>
    </w:p>
    <w:p>
      <w:pPr>
        <w:pStyle w:val="Title"/>
      </w:pPr>
      <w:r>
        <w:t>Offerta indicativa non vincolante</w:t>
      </w:r>
    </w:p>
    <w:p>
      <w:pPr>
        <w:pStyle w:val="Deck"/>
      </w:pPr>
      <w:r>
        <w:t>Modello per esprimere interesse all’acquisto di un marchio, un’azienda, un ramo o quote, subordinando qualsiasi impegno definitivo alle verifiche e ai contratti successivi.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241"/>
      </w:tblGrid>
      <w:tr>
        <w:tc>
          <w:tcPr>
            <w:tcW w:type="dxa" w:w="9468"/>
            <w:shd w:fill="F3EDE4"/>
            <w:tcMar>
              <w:top w:w="140" w:type="dxa"/>
              <w:start w:w="170" w:type="dxa"/>
              <w:bottom w:w="140" w:type="dxa"/>
              <w:end w:w="170" w:type="dxa"/>
            </w:tcMar>
          </w:tcPr>
          <w:p>
            <w:r/>
            <w:r>
              <w:rPr>
                <w:b/>
                <w:color w:val="142B3E"/>
                <w:sz w:val="17"/>
              </w:rPr>
              <w:t>MODELLO CONTRATTUALE DA ADATTARE: bozza informativa, non sostituisce la revisione di un avvocato, notaio o consulente competente. Le parti devono verificare forma, validità ed effetti di ciascuna clausola.</w:t>
            </w:r>
          </w:p>
        </w:tc>
      </w:tr>
    </w:tbl>
    <w:p>
      <w:pPr>
        <w:pStyle w:val="SmallNote"/>
      </w:pPr>
      <w:r/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241"/>
      </w:tblGrid>
      <w:tr>
        <w:tc>
          <w:tcPr>
            <w:tcW w:type="dxa" w:w="9468"/>
            <w:shd w:fill="EAF0ED"/>
            <w:tcMar>
              <w:top w:w="140" w:type="dxa"/>
              <w:start w:w="170" w:type="dxa"/>
              <w:bottom w:w="140" w:type="dxa"/>
              <w:end w:w="170" w:type="dxa"/>
            </w:tcMar>
          </w:tcPr>
          <w:p>
            <w:r/>
            <w:r>
              <w:rPr>
                <w:b w:val="0"/>
                <w:color w:val="142B3E"/>
                <w:sz w:val="17"/>
              </w:rPr>
              <w:t>Importante: l’indicazione del prezzo non determina automaticamente una vendita. La lettera deve essere costruita senza formule di accettazione idonee a generare vincoli indesiderati. Le sole clausole espressamente vincolanti vanno selezionate e validate da un legale.</w:t>
            </w:r>
          </w:p>
        </w:tc>
      </w:tr>
    </w:tbl>
    <w:p>
      <w:pPr>
        <w:pStyle w:val="SmallNote"/>
      </w:pPr>
      <w:r/>
    </w:p>
    <w:p>
      <w:pPr>
        <w:pStyle w:val="Heading1"/>
      </w:pPr>
      <w:r>
        <w:t>1. Identificazione delle parti</w:t>
      </w:r>
    </w:p>
    <w:p>
      <w:pPr>
        <w:spacing w:after="120"/>
      </w:pPr>
      <w:r>
        <w:rPr>
          <w:b/>
          <w:color w:val="142B3E"/>
        </w:rPr>
        <w:t xml:space="preserve">Destinatario / venditore  </w:t>
      </w:r>
      <w:r>
        <w:rPr>
          <w:color w:val="607282"/>
        </w:rPr>
        <w:t>[Denominazione, sede, legale rappresentante]</w:t>
      </w:r>
    </w:p>
    <w:p>
      <w:pPr>
        <w:spacing w:after="120"/>
      </w:pPr>
      <w:r>
        <w:rPr>
          <w:b/>
          <w:color w:val="142B3E"/>
        </w:rPr>
        <w:t xml:space="preserve">Proponente  </w:t>
      </w:r>
      <w:r>
        <w:rPr>
          <w:color w:val="607282"/>
        </w:rPr>
        <w:t>[Denominazione, sede, legale rappresentante]</w:t>
      </w:r>
    </w:p>
    <w:p>
      <w:pPr>
        <w:spacing w:after="120"/>
      </w:pPr>
      <w:r>
        <w:rPr>
          <w:b/>
          <w:color w:val="142B3E"/>
        </w:rPr>
        <w:t xml:space="preserve">Data e codice proposta  </w:t>
      </w:r>
      <w:r>
        <w:rPr>
          <w:color w:val="607282"/>
        </w:rPr>
        <w:t>[gg/mm/aaaa] — [riferimento]</w:t>
      </w:r>
    </w:p>
    <w:p>
      <w:r>
        <w:t>Con la presente [Proponente] manifesta un interesse preliminare a valutare una possibile operazione con [Venditore], secondo i soli presupposti e termini indicativi che seguono. Salvo quanto espressamente disciplinato al punto 9, questo documento non costituisce proposta contrattuale irrevocabile né preliminare di compravendita e non obbliga a concludere alcuna operazione.</w:t>
      </w:r>
    </w:p>
    <w:p>
      <w:pPr>
        <w:pStyle w:val="Heading1"/>
      </w:pPr>
      <w:r>
        <w:t>2. Struttura e perimetro ipotizzati</w:t>
      </w:r>
    </w:p>
    <w:p>
      <w:pPr>
        <w:spacing w:after="120"/>
      </w:pPr>
      <w:r>
        <w:rPr>
          <w:b/>
          <w:color w:val="142B3E"/>
        </w:rPr>
        <w:t xml:space="preserve">Tipo di operazione  </w:t>
      </w:r>
      <w:r>
        <w:rPr>
          <w:color w:val="607282"/>
        </w:rPr>
        <w:t>[Acquisto solo marchio / Azienda / Ramo / Quote / Altro]</w:t>
      </w:r>
    </w:p>
    <w:p>
      <w:pPr>
        <w:spacing w:after="120"/>
      </w:pPr>
      <w:r>
        <w:rPr>
          <w:b/>
          <w:color w:val="142B3E"/>
        </w:rPr>
        <w:t xml:space="preserve">Asset compresi  </w:t>
      </w:r>
      <w:r>
        <w:rPr>
          <w:color w:val="607282"/>
        </w:rPr>
        <w:t>[Registrazioni, loghi, domini, archivi, stock, impianti, contratti, ecc.]</w:t>
      </w:r>
    </w:p>
    <w:p>
      <w:pPr>
        <w:spacing w:after="120"/>
      </w:pPr>
      <w:r>
        <w:rPr>
          <w:b/>
          <w:color w:val="142B3E"/>
        </w:rPr>
        <w:t xml:space="preserve">Asset esclusi  </w:t>
      </w:r>
      <w:r>
        <w:rPr>
          <w:color w:val="607282"/>
        </w:rPr>
        <w:t>[Da elencare chiaramente]</w:t>
      </w:r>
    </w:p>
    <w:p>
      <w:pPr>
        <w:spacing w:after="120"/>
      </w:pPr>
      <w:r>
        <w:rPr>
          <w:b/>
          <w:color w:val="142B3E"/>
        </w:rPr>
        <w:t xml:space="preserve">Diritti / territori / classi  </w:t>
      </w:r>
      <w:r>
        <w:rPr>
          <w:color w:val="607282"/>
        </w:rPr>
        <w:t>[Per i marchi: numeri, territori, classi; licenze esistenti]</w:t>
      </w:r>
    </w:p>
    <w:p>
      <w:pPr>
        <w:spacing w:after="120"/>
      </w:pPr>
      <w:r>
        <w:rPr>
          <w:b/>
          <w:color w:val="142B3E"/>
        </w:rPr>
        <w:t xml:space="preserve">Ipotesi sul personale  </w:t>
      </w:r>
      <w:r>
        <w:rPr>
          <w:color w:val="607282"/>
        </w:rPr>
        <w:t>[Da analizzare con consulente del lavoro, non definita qui]</w:t>
      </w:r>
    </w:p>
    <w:p>
      <w:pPr>
        <w:pStyle w:val="Heading1"/>
      </w:pPr>
      <w:r>
        <w:t>3. Valore economico indicativo</w:t>
      </w:r>
    </w:p>
    <w:p>
      <w:pPr>
        <w:spacing w:after="120"/>
      </w:pPr>
      <w:r>
        <w:rPr>
          <w:b/>
          <w:color w:val="142B3E"/>
        </w:rPr>
        <w:t xml:space="preserve">Corrispettivo indicativo  </w:t>
      </w:r>
      <w:r>
        <w:rPr>
          <w:color w:val="607282"/>
        </w:rPr>
        <w:t>€ [importo] soggetto a condizioni e rettifiche</w:t>
      </w:r>
    </w:p>
    <w:p>
      <w:pPr>
        <w:spacing w:after="120"/>
      </w:pPr>
      <w:r>
        <w:rPr>
          <w:b/>
          <w:color w:val="142B3E"/>
        </w:rPr>
        <w:t xml:space="preserve">Valuta e struttura  </w:t>
      </w:r>
      <w:r>
        <w:rPr>
          <w:color w:val="607282"/>
        </w:rPr>
        <w:t>[Contanti al closing / pagamento differito / earn-out / altra]</w:t>
      </w:r>
    </w:p>
    <w:p>
      <w:pPr>
        <w:spacing w:after="120"/>
      </w:pPr>
      <w:r>
        <w:rPr>
          <w:b/>
          <w:color w:val="142B3E"/>
        </w:rPr>
        <w:t xml:space="preserve">Base economica  </w:t>
      </w:r>
      <w:r>
        <w:rPr>
          <w:color w:val="607282"/>
        </w:rPr>
        <w:t>[Valore del solo marchio / Enterprise value / Equity value]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16"/>
        <w:gridCol w:w="4025"/>
      </w:tblGrid>
      <w:tr>
        <w:trPr>
          <w:cantSplit/>
        </w:trPr>
        <w:tc>
          <w:tcPr>
            <w:tcW w:type="dxa" w:w="4734"/>
            <w:tcMar>
              <w:top w:w="110" w:type="dxa"/>
              <w:start w:w="120" w:type="dxa"/>
              <w:bottom w:w="110" w:type="dxa"/>
              <w:end w:w="120" w:type="dxa"/>
            </w:tcMar>
            <w:shd w:fill="142B3E"/>
          </w:tcPr>
          <w:p>
            <w:pPr>
              <w:pStyle w:val="TableBody"/>
              <w:keepNext/>
              <w:keepLines/>
              <w:spacing w:after="0"/>
            </w:pPr>
            <w:r/>
            <w:r>
              <w:rPr>
                <w:b/>
                <w:color w:val="FFFFFF"/>
                <w:sz w:val="16"/>
              </w:rPr>
              <w:t>Elemento</w:t>
            </w:r>
          </w:p>
        </w:tc>
        <w:tc>
          <w:tcPr>
            <w:tcW w:type="dxa" w:w="4734"/>
            <w:tcMar>
              <w:top w:w="110" w:type="dxa"/>
              <w:start w:w="120" w:type="dxa"/>
              <w:bottom w:w="110" w:type="dxa"/>
              <w:end w:w="120" w:type="dxa"/>
            </w:tcMar>
            <w:shd w:fill="142B3E"/>
          </w:tcPr>
          <w:p>
            <w:pPr>
              <w:pStyle w:val="TableBody"/>
              <w:keepNext/>
              <w:keepLines/>
              <w:spacing w:after="0"/>
            </w:pPr>
            <w:r/>
            <w:r>
              <w:rPr>
                <w:b/>
                <w:color w:val="FFFFFF"/>
                <w:sz w:val="16"/>
              </w:rPr>
              <w:t>Importo / criterio</w:t>
            </w:r>
          </w:p>
        </w:tc>
      </w:tr>
      <w:tr>
        <w:trPr>
          <w:cantSplit/>
        </w:trPr>
        <w:tc>
          <w:tcPr>
            <w:tcW w:type="dxa" w:w="5216"/>
            <w:tcMar>
              <w:top w:w="110" w:type="dxa"/>
              <w:start w:w="120" w:type="dxa"/>
              <w:bottom w:w="110" w:type="dxa"/>
              <w:end w:w="120" w:type="dxa"/>
            </w:tcMar>
            <w:shd w:fill="F3F5F4"/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6"/>
              </w:rPr>
              <w:t>Valore operativo / EV (se applicabile)</w:t>
            </w:r>
          </w:p>
        </w:tc>
        <w:tc>
          <w:tcPr>
            <w:tcW w:type="dxa" w:w="4025"/>
            <w:tcMar>
              <w:top w:w="110" w:type="dxa"/>
              <w:start w:w="120" w:type="dxa"/>
              <w:bottom w:w="110" w:type="dxa"/>
              <w:end w:w="120" w:type="dxa"/>
            </w:tcMar>
            <w:shd w:fill="F3F5F4"/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6"/>
              </w:rPr>
              <w:t>€ [ ]</w:t>
            </w:r>
          </w:p>
        </w:tc>
      </w:tr>
      <w:tr>
        <w:trPr>
          <w:cantSplit/>
        </w:trPr>
        <w:tc>
          <w:tcPr>
            <w:tcW w:type="dxa" w:w="5216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6"/>
              </w:rPr>
              <w:t>Meno indebitamento finanziario netto (da verificare)</w:t>
            </w:r>
          </w:p>
        </w:tc>
        <w:tc>
          <w:tcPr>
            <w:tcW w:type="dxa" w:w="4025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6"/>
              </w:rPr>
              <w:t>€ [ ]</w:t>
            </w:r>
          </w:p>
        </w:tc>
      </w:tr>
      <w:tr>
        <w:trPr>
          <w:cantSplit/>
        </w:trPr>
        <w:tc>
          <w:tcPr>
            <w:tcW w:type="dxa" w:w="5216"/>
            <w:tcMar>
              <w:top w:w="110" w:type="dxa"/>
              <w:start w:w="120" w:type="dxa"/>
              <w:bottom w:w="110" w:type="dxa"/>
              <w:end w:w="120" w:type="dxa"/>
            </w:tcMar>
            <w:shd w:fill="F3F5F4"/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6"/>
              </w:rPr>
              <w:t>Più o meno rettifica capitale circolante</w:t>
            </w:r>
          </w:p>
        </w:tc>
        <w:tc>
          <w:tcPr>
            <w:tcW w:type="dxa" w:w="4025"/>
            <w:tcMar>
              <w:top w:w="110" w:type="dxa"/>
              <w:start w:w="120" w:type="dxa"/>
              <w:bottom w:w="110" w:type="dxa"/>
              <w:end w:w="120" w:type="dxa"/>
            </w:tcMar>
            <w:shd w:fill="F3F5F4"/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6"/>
              </w:rPr>
              <w:t>€ [ ]</w:t>
            </w:r>
          </w:p>
        </w:tc>
      </w:tr>
      <w:tr>
        <w:trPr>
          <w:cantSplit/>
        </w:trPr>
        <w:tc>
          <w:tcPr>
            <w:tcW w:type="dxa" w:w="5216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6"/>
              </w:rPr>
              <w:t>Prezzo indicativo per la partecipazione / azienda</w:t>
            </w:r>
          </w:p>
        </w:tc>
        <w:tc>
          <w:tcPr>
            <w:tcW w:type="dxa" w:w="4025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6"/>
              </w:rPr>
              <w:t>€ [ ]</w:t>
            </w:r>
          </w:p>
        </w:tc>
      </w:tr>
      <w:tr>
        <w:trPr>
          <w:cantSplit/>
        </w:trPr>
        <w:tc>
          <w:tcPr>
            <w:tcW w:type="dxa" w:w="5216"/>
            <w:tcMar>
              <w:top w:w="110" w:type="dxa"/>
              <w:start w:w="120" w:type="dxa"/>
              <w:bottom w:w="110" w:type="dxa"/>
              <w:end w:w="120" w:type="dxa"/>
            </w:tcMar>
            <w:shd w:fill="F3F5F4"/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6"/>
              </w:rPr>
              <w:t>Earn-out / deferred price</w:t>
            </w:r>
          </w:p>
        </w:tc>
        <w:tc>
          <w:tcPr>
            <w:tcW w:type="dxa" w:w="4025"/>
            <w:tcMar>
              <w:top w:w="110" w:type="dxa"/>
              <w:start w:w="120" w:type="dxa"/>
              <w:bottom w:w="110" w:type="dxa"/>
              <w:end w:w="120" w:type="dxa"/>
            </w:tcMar>
            <w:shd w:fill="F3F5F4"/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6"/>
              </w:rPr>
              <w:t>[KPI oggettivo, periodo, limiti, controlli]</w:t>
            </w:r>
          </w:p>
        </w:tc>
      </w:tr>
    </w:tbl>
    <w:p>
      <w:r>
        <w:t>La tabella è uno schema e non va sommata automaticamente se l’oggetto è il solo marchio. Il prezzo definitivo dipenderà da dati verificati, garanzie, rischi e perimetro concordato. Non si presume alcun versamento anticipato prima di accordi e verifiche adeguate.</w:t>
      </w:r>
    </w:p>
    <w:p>
      <w:pPr>
        <w:pStyle w:val="Heading1"/>
      </w:pPr>
      <w:r>
        <w:t>4. Condizioni da verificare prima di qualsiasi accordo definitivo</w:t>
      </w:r>
    </w:p>
    <w:p>
      <w:pPr>
        <w:spacing w:after="80"/>
      </w:pPr>
      <w:r>
        <w:t xml:space="preserve">☐  </w:t>
      </w:r>
      <w:r>
        <w:t>Titolarità, validità e trasferibilità dei marchi e di ogni altro asset.</w:t>
      </w:r>
    </w:p>
    <w:p>
      <w:pPr>
        <w:spacing w:after="80"/>
      </w:pPr>
      <w:r>
        <w:t xml:space="preserve">☐  </w:t>
      </w:r>
      <w:r>
        <w:t>Assenza di vincoli, controversie o licenze non compatibili con il piano.</w:t>
      </w:r>
    </w:p>
    <w:p>
      <w:pPr>
        <w:spacing w:after="80"/>
      </w:pPr>
      <w:r>
        <w:t xml:space="preserve">☐  </w:t>
      </w:r>
      <w:r>
        <w:t>Conferma dei dati economici, fiscali, operativi e finanziari comunicati.</w:t>
      </w:r>
    </w:p>
    <w:p>
      <w:pPr>
        <w:spacing w:after="80"/>
      </w:pPr>
      <w:r>
        <w:t xml:space="preserve">☐  </w:t>
      </w:r>
      <w:r>
        <w:t>Esame contratti, consensi di terzi, autorizzazioni e altri nulla osta necessari.</w:t>
      </w:r>
    </w:p>
    <w:p>
      <w:pPr>
        <w:spacing w:after="80"/>
      </w:pPr>
      <w:r>
        <w:t xml:space="preserve">☐  </w:t>
      </w:r>
      <w:r>
        <w:t>Valutazione dei dipendenti, dell’art. 2112 c.c. e dell’eventuale art. 47 L. 428/1990.</w:t>
      </w:r>
    </w:p>
    <w:p>
      <w:pPr>
        <w:spacing w:after="80"/>
      </w:pPr>
      <w:r>
        <w:t xml:space="preserve">☐  </w:t>
      </w:r>
      <w:r>
        <w:t>Negoziazione di garanzie, indennizzi, prezzo, condizioni sospensive e closing.</w:t>
      </w:r>
    </w:p>
    <w:p>
      <w:pPr>
        <w:spacing w:after="80"/>
      </w:pPr>
      <w:r>
        <w:t xml:space="preserve">☐  </w:t>
      </w:r>
      <w:r>
        <w:t>Approvazioni interne di organi societari e finanziatori, ove richieste.</w:t>
      </w:r>
    </w:p>
    <w:p>
      <w:pPr>
        <w:pStyle w:val="Heading1"/>
      </w:pPr>
      <w:r>
        <w:t>5. Due diligence, accessi e riservatezza</w:t>
      </w:r>
    </w:p>
    <w:p>
      <w:pPr>
        <w:spacing w:after="120"/>
      </w:pPr>
      <w:r>
        <w:rPr>
          <w:b/>
          <w:color w:val="142B3E"/>
        </w:rPr>
        <w:t xml:space="preserve">Periodo indicativo  </w:t>
      </w:r>
      <w:r>
        <w:rPr>
          <w:color w:val="607282"/>
        </w:rPr>
        <w:t>[Es. 45 giorni dalla messa a disposizione del dossier]</w:t>
      </w:r>
    </w:p>
    <w:p>
      <w:pPr>
        <w:spacing w:after="120"/>
      </w:pPr>
      <w:r>
        <w:rPr>
          <w:b/>
          <w:color w:val="142B3E"/>
        </w:rPr>
        <w:t xml:space="preserve">Referenti autorizzati  </w:t>
      </w:r>
      <w:r>
        <w:rPr>
          <w:color w:val="607282"/>
        </w:rPr>
        <w:t>[Nomi e funzioni]</w:t>
      </w:r>
    </w:p>
    <w:p>
      <w:r>
        <w:t>Le informazioni sono rese disponibili in modo graduale, tramite canali autorizzati e previo NDA se opportuno. Le parti condivideranno soltanto dati necessari e proporzionati. L’eventuale ricorso a professionisti esterni è a carico della parte che li incarica, salvo accordo separato.</w:t>
      </w:r>
    </w:p>
    <w:p>
      <w:pPr>
        <w:pStyle w:val="Heading1"/>
      </w:pPr>
      <w:r>
        <w:t>6. Piano di transizione e patrimonio storico</w:t>
      </w:r>
    </w:p>
    <w:p>
      <w:pPr>
        <w:spacing w:after="120"/>
      </w:pPr>
      <w:r>
        <w:rPr>
          <w:b/>
          <w:color w:val="142B3E"/>
        </w:rPr>
        <w:t xml:space="preserve">Affiancamento previsto  </w:t>
      </w:r>
      <w:r>
        <w:rPr>
          <w:color w:val="607282"/>
        </w:rPr>
        <w:t>[Durata, ore e ambito — da concordare]</w:t>
      </w:r>
    </w:p>
    <w:p>
      <w:pPr>
        <w:spacing w:after="120"/>
      </w:pPr>
      <w:r>
        <w:rPr>
          <w:b/>
          <w:color w:val="142B3E"/>
        </w:rPr>
        <w:t xml:space="preserve">Utilizzo di nome storico / archivi  </w:t>
      </w:r>
      <w:r>
        <w:rPr>
          <w:color w:val="607282"/>
        </w:rPr>
        <w:t>[Perimetro, qualità e limitazioni]</w:t>
      </w:r>
    </w:p>
    <w:p>
      <w:pPr>
        <w:spacing w:after="120"/>
      </w:pPr>
      <w:r>
        <w:rPr>
          <w:b/>
          <w:color w:val="142B3E"/>
        </w:rPr>
        <w:t xml:space="preserve">Tutela clienti, dipendenti e fornitori  </w:t>
      </w:r>
      <w:r>
        <w:rPr>
          <w:color w:val="607282"/>
        </w:rPr>
        <w:t>[Misure in fase di transizione]</w:t>
      </w:r>
    </w:p>
    <w:p>
      <w:pPr>
        <w:pStyle w:val="Heading1"/>
      </w:pPr>
      <w:r>
        <w:t>7. Calendario indicativo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48"/>
        <w:gridCol w:w="2211"/>
        <w:gridCol w:w="4082"/>
      </w:tblGrid>
      <w:tr>
        <w:trPr>
          <w:cantSplit/>
        </w:trPr>
        <w:tc>
          <w:tcPr>
            <w:tcW w:type="dxa" w:w="3156"/>
            <w:tcMar>
              <w:top w:w="110" w:type="dxa"/>
              <w:start w:w="120" w:type="dxa"/>
              <w:bottom w:w="110" w:type="dxa"/>
              <w:end w:w="120" w:type="dxa"/>
            </w:tcMar>
            <w:shd w:fill="142B3E"/>
          </w:tcPr>
          <w:p>
            <w:pPr>
              <w:pStyle w:val="TableBody"/>
              <w:keepNext/>
              <w:keepLines/>
              <w:spacing w:after="0"/>
            </w:pPr>
            <w:r/>
            <w:r>
              <w:rPr>
                <w:b/>
                <w:color w:val="FFFFFF"/>
                <w:sz w:val="16"/>
              </w:rPr>
              <w:t>Fase</w:t>
            </w:r>
          </w:p>
        </w:tc>
        <w:tc>
          <w:tcPr>
            <w:tcW w:type="dxa" w:w="3156"/>
            <w:tcMar>
              <w:top w:w="110" w:type="dxa"/>
              <w:start w:w="120" w:type="dxa"/>
              <w:bottom w:w="110" w:type="dxa"/>
              <w:end w:w="120" w:type="dxa"/>
            </w:tcMar>
            <w:shd w:fill="142B3E"/>
          </w:tcPr>
          <w:p>
            <w:pPr>
              <w:pStyle w:val="TableBody"/>
              <w:keepNext/>
              <w:keepLines/>
              <w:spacing w:after="0"/>
            </w:pPr>
            <w:r/>
            <w:r>
              <w:rPr>
                <w:b/>
                <w:color w:val="FFFFFF"/>
                <w:sz w:val="16"/>
              </w:rPr>
              <w:t>Data obiettivo</w:t>
            </w:r>
          </w:p>
        </w:tc>
        <w:tc>
          <w:tcPr>
            <w:tcW w:type="dxa" w:w="3156"/>
            <w:tcMar>
              <w:top w:w="110" w:type="dxa"/>
              <w:start w:w="120" w:type="dxa"/>
              <w:bottom w:w="110" w:type="dxa"/>
              <w:end w:w="120" w:type="dxa"/>
            </w:tcMar>
            <w:shd w:fill="142B3E"/>
          </w:tcPr>
          <w:p>
            <w:pPr>
              <w:pStyle w:val="TableBody"/>
              <w:keepNext/>
              <w:keepLines/>
              <w:spacing w:after="0"/>
            </w:pPr>
            <w:r/>
            <w:r>
              <w:rPr>
                <w:b/>
                <w:color w:val="FFFFFF"/>
                <w:sz w:val="16"/>
              </w:rPr>
              <w:t>Condizione</w:t>
            </w:r>
          </w:p>
        </w:tc>
      </w:tr>
      <w:tr>
        <w:trPr>
          <w:cantSplit/>
        </w:trPr>
        <w:tc>
          <w:tcPr>
            <w:tcW w:type="dxa" w:w="2948"/>
            <w:tcMar>
              <w:top w:w="110" w:type="dxa"/>
              <w:start w:w="120" w:type="dxa"/>
              <w:bottom w:w="110" w:type="dxa"/>
              <w:end w:w="120" w:type="dxa"/>
            </w:tcMar>
            <w:shd w:fill="F3F5F4"/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6"/>
              </w:rPr>
              <w:t>Avvio data room</w:t>
            </w:r>
          </w:p>
        </w:tc>
        <w:tc>
          <w:tcPr>
            <w:tcW w:type="dxa" w:w="2211"/>
            <w:tcMar>
              <w:top w:w="110" w:type="dxa"/>
              <w:start w:w="120" w:type="dxa"/>
              <w:bottom w:w="110" w:type="dxa"/>
              <w:end w:w="120" w:type="dxa"/>
            </w:tcMar>
            <w:shd w:fill="F3F5F4"/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6"/>
              </w:rPr>
              <w:t>[gg/mm/aaaa]</w:t>
            </w:r>
          </w:p>
        </w:tc>
        <w:tc>
          <w:tcPr>
            <w:tcW w:type="dxa" w:w="4082"/>
            <w:tcMar>
              <w:top w:w="110" w:type="dxa"/>
              <w:start w:w="120" w:type="dxa"/>
              <w:bottom w:w="110" w:type="dxa"/>
              <w:end w:w="120" w:type="dxa"/>
            </w:tcMar>
            <w:shd w:fill="F3F5F4"/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6"/>
              </w:rPr>
              <w:t>NDA e disponibilità documenti</w:t>
            </w:r>
          </w:p>
        </w:tc>
      </w:tr>
      <w:tr>
        <w:trPr>
          <w:cantSplit/>
        </w:trPr>
        <w:tc>
          <w:tcPr>
            <w:tcW w:type="dxa" w:w="2948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6"/>
              </w:rPr>
              <w:t>Fine due diligence</w:t>
            </w:r>
          </w:p>
        </w:tc>
        <w:tc>
          <w:tcPr>
            <w:tcW w:type="dxa" w:w="2211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6"/>
              </w:rPr>
              <w:t>[gg/mm/aaaa]</w:t>
            </w:r>
          </w:p>
        </w:tc>
        <w:tc>
          <w:tcPr>
            <w:tcW w:type="dxa" w:w="4082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6"/>
              </w:rPr>
              <w:t>Esito soddisfacente per le Parti</w:t>
            </w:r>
          </w:p>
        </w:tc>
      </w:tr>
      <w:tr>
        <w:trPr>
          <w:cantSplit/>
        </w:trPr>
        <w:tc>
          <w:tcPr>
            <w:tcW w:type="dxa" w:w="2948"/>
            <w:tcMar>
              <w:top w:w="110" w:type="dxa"/>
              <w:start w:w="120" w:type="dxa"/>
              <w:bottom w:w="110" w:type="dxa"/>
              <w:end w:w="120" w:type="dxa"/>
            </w:tcMar>
            <w:shd w:fill="F3F5F4"/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6"/>
              </w:rPr>
              <w:t>Contratti definitivi</w:t>
            </w:r>
          </w:p>
        </w:tc>
        <w:tc>
          <w:tcPr>
            <w:tcW w:type="dxa" w:w="2211"/>
            <w:tcMar>
              <w:top w:w="110" w:type="dxa"/>
              <w:start w:w="120" w:type="dxa"/>
              <w:bottom w:w="110" w:type="dxa"/>
              <w:end w:w="120" w:type="dxa"/>
            </w:tcMar>
            <w:shd w:fill="F3F5F4"/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6"/>
              </w:rPr>
              <w:t>[gg/mm/aaaa]</w:t>
            </w:r>
          </w:p>
        </w:tc>
        <w:tc>
          <w:tcPr>
            <w:tcW w:type="dxa" w:w="4082"/>
            <w:tcMar>
              <w:top w:w="110" w:type="dxa"/>
              <w:start w:w="120" w:type="dxa"/>
              <w:bottom w:w="110" w:type="dxa"/>
              <w:end w:w="120" w:type="dxa"/>
            </w:tcMar>
            <w:shd w:fill="F3F5F4"/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6"/>
              </w:rPr>
              <w:t>Testi approvati dai professionisti</w:t>
            </w:r>
          </w:p>
        </w:tc>
      </w:tr>
      <w:tr>
        <w:trPr>
          <w:cantSplit/>
        </w:trPr>
        <w:tc>
          <w:tcPr>
            <w:tcW w:type="dxa" w:w="2948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6"/>
              </w:rPr>
              <w:t>Closing / consegna</w:t>
            </w:r>
          </w:p>
        </w:tc>
        <w:tc>
          <w:tcPr>
            <w:tcW w:type="dxa" w:w="2211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6"/>
              </w:rPr>
              <w:t>[gg/mm/aaaa]</w:t>
            </w:r>
          </w:p>
        </w:tc>
        <w:tc>
          <w:tcPr>
            <w:tcW w:type="dxa" w:w="4082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6"/>
              </w:rPr>
              <w:t>Formalità, pagamenti, consensi</w:t>
            </w:r>
          </w:p>
        </w:tc>
      </w:tr>
    </w:tbl>
    <w:p>
      <w:pPr>
        <w:pStyle w:val="Heading1"/>
      </w:pPr>
      <w:r>
        <w:t>8. Assenza di obbligo a concludere</w:t>
      </w:r>
    </w:p>
    <w:p>
      <w:r>
        <w:t>Salvo gli impegni eventualmente indicati come VINCOLANTI al punto 9 e validamente accettati, ciascuna Parte può interrompere la trattativa senza obbligo di acquisto o vendita, ferma la responsabilità eventualmente applicabile per violazioni di legge e degli obblighi assunti. Nessuna Parte assume impegni finanziari, societari o verso terzi sulla base della presente lettera.</w:t>
      </w:r>
    </w:p>
    <w:p>
      <w:pPr>
        <w:pStyle w:val="Heading1"/>
      </w:pPr>
      <w:r>
        <w:t>9. Clausole eventualmente vincolanti (SOLO SE SELEZIONATE)</w:t>
      </w:r>
    </w:p>
    <w:p>
      <w:pPr>
        <w:spacing w:after="80"/>
      </w:pPr>
      <w:r>
        <w:t xml:space="preserve">☐  </w:t>
      </w:r>
      <w:r>
        <w:t>[  ] Riservatezza: resta in vigore l’NDA del [data] oppure si sottoscrive accordo separato.</w:t>
      </w:r>
    </w:p>
    <w:p>
      <w:pPr>
        <w:spacing w:after="80"/>
      </w:pPr>
      <w:r>
        <w:t xml:space="preserve">☐  </w:t>
      </w:r>
      <w:r>
        <w:t>[  ] Esclusiva di negoziazione: per [giorni] e sul perimetro [definire]; ambito e rimedi da concordare.</w:t>
      </w:r>
    </w:p>
    <w:p>
      <w:pPr>
        <w:spacing w:after="80"/>
      </w:pPr>
      <w:r>
        <w:t xml:space="preserve">☐  </w:t>
      </w:r>
      <w:r>
        <w:t>[  ] Ripartizione dei costi: ciascuna parte sostiene i propri costi, salvo [specificare].</w:t>
      </w:r>
    </w:p>
    <w:p>
      <w:pPr>
        <w:spacing w:after="80"/>
      </w:pPr>
      <w:r>
        <w:t xml:space="preserve">☐  </w:t>
      </w:r>
      <w:r>
        <w:t>[  ] Legge e foro per i soli obblighi vincolanti: [da validare].</w:t>
      </w:r>
    </w:p>
    <w:p>
      <w:r>
        <w:t>Se nessuna opzione viene selezionata e validamente sottoscritta, l’intera lettera resta indicativa e non vincolante, nel rispetto degli obblighi di legge. L’eventuale esclusiva non sorge per il solo invio del documento.</w:t>
      </w:r>
    </w:p>
    <w:p>
      <w:pPr>
        <w:pStyle w:val="Heading1"/>
      </w:pPr>
      <w:r>
        <w:t>10. Termine indicativo e presa visione</w:t>
      </w:r>
    </w:p>
    <w:p>
      <w:pPr>
        <w:spacing w:after="120"/>
      </w:pPr>
      <w:r>
        <w:rPr>
          <w:b/>
          <w:color w:val="142B3E"/>
        </w:rPr>
        <w:t xml:space="preserve">Data entro cui discutere la proposta  </w:t>
      </w:r>
      <w:r>
        <w:rPr>
          <w:color w:val="607282"/>
        </w:rPr>
        <w:t>[gg/mm/aaaa] — termine negoziale, non irrevocabilità</w:t>
      </w:r>
    </w:p>
    <w:p>
      <w:pPr>
        <w:spacing w:after="120"/>
      </w:pPr>
      <w:r>
        <w:rPr>
          <w:b/>
          <w:color w:val="142B3E"/>
        </w:rPr>
        <w:t xml:space="preserve">Firma del proponente  </w:t>
      </w:r>
      <w:r>
        <w:rPr>
          <w:color w:val="607282"/>
        </w:rPr>
        <w:t>[Nome / ruolo / firma]</w:t>
      </w:r>
    </w:p>
    <w:p>
      <w:pPr>
        <w:spacing w:after="120"/>
      </w:pPr>
      <w:r>
        <w:rPr>
          <w:b/>
          <w:color w:val="142B3E"/>
        </w:rPr>
        <w:t xml:space="preserve">Presa visione del destinatario  </w:t>
      </w:r>
      <w:r>
        <w:rPr>
          <w:color w:val="607282"/>
        </w:rPr>
        <w:t>[Nome / ruolo / data], senza accettazione della compravendita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241"/>
      </w:tblGrid>
      <w:tr>
        <w:tc>
          <w:tcPr>
            <w:tcW w:type="dxa" w:w="9468"/>
            <w:shd w:fill="F3EDE4"/>
            <w:tcMar>
              <w:top w:w="140" w:type="dxa"/>
              <w:start w:w="170" w:type="dxa"/>
              <w:bottom w:w="140" w:type="dxa"/>
              <w:end w:w="170" w:type="dxa"/>
            </w:tcMar>
          </w:tcPr>
          <w:p>
            <w:r/>
            <w:r>
              <w:rPr>
                <w:b/>
                <w:color w:val="142B3E"/>
                <w:sz w:val="17"/>
              </w:rPr>
              <w:t>Prima di inviarla, un legale deve verificare la qualificazione giuridica dell’offerta, la lingua della trattativa e la formulazione delle clausole opzionali. La firma “per presa visione” non rende automaticamente vincolanti prezzo e vendita.</w:t>
            </w:r>
          </w:p>
        </w:tc>
      </w:tr>
    </w:tbl>
    <w:p>
      <w:pPr>
        <w:pStyle w:val="SmallNote"/>
      </w:pPr>
      <w:r/>
    </w:p>
    <w:p>
      <w:pPr>
        <w:pStyle w:val="Heading1"/>
      </w:pPr>
      <w:r>
        <w:t>Allegato A — Questioni aperte prima del contratto definitivo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01"/>
        <w:gridCol w:w="5499"/>
        <w:gridCol w:w="2041"/>
      </w:tblGrid>
      <w:tr>
        <w:trPr>
          <w:cantSplit/>
        </w:trPr>
        <w:tc>
          <w:tcPr>
            <w:tcW w:type="dxa" w:w="3156"/>
            <w:tcMar>
              <w:top w:w="110" w:type="dxa"/>
              <w:start w:w="120" w:type="dxa"/>
              <w:bottom w:w="110" w:type="dxa"/>
              <w:end w:w="120" w:type="dxa"/>
            </w:tcMar>
            <w:shd w:fill="142B3E"/>
          </w:tcPr>
          <w:p>
            <w:pPr>
              <w:pStyle w:val="TableBody"/>
              <w:keepNext/>
              <w:keepLines/>
              <w:spacing w:after="0"/>
            </w:pPr>
            <w:r/>
            <w:r>
              <w:rPr>
                <w:b/>
                <w:color w:val="FFFFFF"/>
                <w:sz w:val="16"/>
              </w:rPr>
              <w:t>Tema</w:t>
            </w:r>
          </w:p>
        </w:tc>
        <w:tc>
          <w:tcPr>
            <w:tcW w:type="dxa" w:w="3156"/>
            <w:tcMar>
              <w:top w:w="110" w:type="dxa"/>
              <w:start w:w="120" w:type="dxa"/>
              <w:bottom w:w="110" w:type="dxa"/>
              <w:end w:w="120" w:type="dxa"/>
            </w:tcMar>
            <w:shd w:fill="142B3E"/>
          </w:tcPr>
          <w:p>
            <w:pPr>
              <w:pStyle w:val="TableBody"/>
              <w:keepNext/>
              <w:keepLines/>
              <w:spacing w:after="0"/>
            </w:pPr>
            <w:r/>
            <w:r>
              <w:rPr>
                <w:b/>
                <w:color w:val="FFFFFF"/>
                <w:sz w:val="16"/>
              </w:rPr>
              <w:t>Punto da chiarire</w:t>
            </w:r>
          </w:p>
        </w:tc>
        <w:tc>
          <w:tcPr>
            <w:tcW w:type="dxa" w:w="3156"/>
            <w:tcMar>
              <w:top w:w="110" w:type="dxa"/>
              <w:start w:w="120" w:type="dxa"/>
              <w:bottom w:w="110" w:type="dxa"/>
              <w:end w:w="120" w:type="dxa"/>
            </w:tcMar>
            <w:shd w:fill="142B3E"/>
          </w:tcPr>
          <w:p>
            <w:pPr>
              <w:pStyle w:val="TableBody"/>
              <w:keepNext/>
              <w:keepLines/>
              <w:spacing w:after="0"/>
            </w:pPr>
            <w:r/>
            <w:r>
              <w:rPr>
                <w:b/>
                <w:color w:val="FFFFFF"/>
                <w:sz w:val="16"/>
              </w:rPr>
              <w:t>Responsabile</w:t>
            </w:r>
          </w:p>
        </w:tc>
      </w:tr>
      <w:tr>
        <w:trPr>
          <w:cantSplit/>
        </w:trPr>
        <w:tc>
          <w:tcPr>
            <w:tcW w:type="dxa" w:w="1701"/>
            <w:tcMar>
              <w:top w:w="110" w:type="dxa"/>
              <w:start w:w="120" w:type="dxa"/>
              <w:bottom w:w="110" w:type="dxa"/>
              <w:end w:w="120" w:type="dxa"/>
            </w:tcMar>
            <w:shd w:fill="F3F5F4"/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6"/>
              </w:rPr>
              <w:t>Perimetro IP</w:t>
            </w:r>
          </w:p>
        </w:tc>
        <w:tc>
          <w:tcPr>
            <w:tcW w:type="dxa" w:w="5499"/>
            <w:tcMar>
              <w:top w:w="110" w:type="dxa"/>
              <w:start w:w="120" w:type="dxa"/>
              <w:bottom w:w="110" w:type="dxa"/>
              <w:end w:w="120" w:type="dxa"/>
            </w:tcMar>
            <w:shd w:fill="F3F5F4"/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6"/>
              </w:rPr>
              <w:t>[Registrazioni, licenze, archivi, titolarità]</w:t>
            </w:r>
          </w:p>
        </w:tc>
        <w:tc>
          <w:tcPr>
            <w:tcW w:type="dxa" w:w="2041"/>
            <w:tcMar>
              <w:top w:w="110" w:type="dxa"/>
              <w:start w:w="120" w:type="dxa"/>
              <w:bottom w:w="110" w:type="dxa"/>
              <w:end w:w="120" w:type="dxa"/>
            </w:tcMar>
            <w:shd w:fill="F3F5F4"/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6"/>
              </w:rPr>
              <w:t>[ ]</w:t>
            </w:r>
          </w:p>
        </w:tc>
      </w:tr>
      <w:tr>
        <w:trPr>
          <w:cantSplit/>
        </w:trPr>
        <w:tc>
          <w:tcPr>
            <w:tcW w:type="dxa" w:w="1701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6"/>
              </w:rPr>
              <w:t>Economia</w:t>
            </w:r>
          </w:p>
        </w:tc>
        <w:tc>
          <w:tcPr>
            <w:tcW w:type="dxa" w:w="549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6"/>
              </w:rPr>
              <w:t>[EBITDA, debito netto, working capital]</w:t>
            </w:r>
          </w:p>
        </w:tc>
        <w:tc>
          <w:tcPr>
            <w:tcW w:type="dxa" w:w="2041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6"/>
              </w:rPr>
              <w:t>[ ]</w:t>
            </w:r>
          </w:p>
        </w:tc>
      </w:tr>
      <w:tr>
        <w:trPr>
          <w:cantSplit/>
        </w:trPr>
        <w:tc>
          <w:tcPr>
            <w:tcW w:type="dxa" w:w="1701"/>
            <w:tcMar>
              <w:top w:w="110" w:type="dxa"/>
              <w:start w:w="120" w:type="dxa"/>
              <w:bottom w:w="110" w:type="dxa"/>
              <w:end w:w="120" w:type="dxa"/>
            </w:tcMar>
            <w:shd w:fill="F3F5F4"/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6"/>
              </w:rPr>
              <w:t>Contratti</w:t>
            </w:r>
          </w:p>
        </w:tc>
        <w:tc>
          <w:tcPr>
            <w:tcW w:type="dxa" w:w="5499"/>
            <w:tcMar>
              <w:top w:w="110" w:type="dxa"/>
              <w:start w:w="120" w:type="dxa"/>
              <w:bottom w:w="110" w:type="dxa"/>
              <w:end w:w="120" w:type="dxa"/>
            </w:tcMar>
            <w:shd w:fill="F3F5F4"/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6"/>
              </w:rPr>
              <w:t>[Consensi, change of control, esclusive]</w:t>
            </w:r>
          </w:p>
        </w:tc>
        <w:tc>
          <w:tcPr>
            <w:tcW w:type="dxa" w:w="2041"/>
            <w:tcMar>
              <w:top w:w="110" w:type="dxa"/>
              <w:start w:w="120" w:type="dxa"/>
              <w:bottom w:w="110" w:type="dxa"/>
              <w:end w:w="120" w:type="dxa"/>
            </w:tcMar>
            <w:shd w:fill="F3F5F4"/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6"/>
              </w:rPr>
              <w:t>[ ]</w:t>
            </w:r>
          </w:p>
        </w:tc>
      </w:tr>
      <w:tr>
        <w:trPr>
          <w:cantSplit/>
        </w:trPr>
        <w:tc>
          <w:tcPr>
            <w:tcW w:type="dxa" w:w="1701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6"/>
              </w:rPr>
              <w:t>Personale</w:t>
            </w:r>
          </w:p>
        </w:tc>
        <w:tc>
          <w:tcPr>
            <w:tcW w:type="dxa" w:w="549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6"/>
              </w:rPr>
              <w:t>[Mappatura obblighi e informazione]</w:t>
            </w:r>
          </w:p>
        </w:tc>
        <w:tc>
          <w:tcPr>
            <w:tcW w:type="dxa" w:w="2041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6"/>
              </w:rPr>
              <w:t>[ ]</w:t>
            </w:r>
          </w:p>
        </w:tc>
      </w:tr>
      <w:tr>
        <w:trPr>
          <w:cantSplit/>
        </w:trPr>
        <w:tc>
          <w:tcPr>
            <w:tcW w:type="dxa" w:w="1701"/>
            <w:tcMar>
              <w:top w:w="110" w:type="dxa"/>
              <w:start w:w="120" w:type="dxa"/>
              <w:bottom w:w="110" w:type="dxa"/>
              <w:end w:w="120" w:type="dxa"/>
            </w:tcMar>
            <w:shd w:fill="F3F5F4"/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6"/>
              </w:rPr>
              <w:t>Closing</w:t>
            </w:r>
          </w:p>
        </w:tc>
        <w:tc>
          <w:tcPr>
            <w:tcW w:type="dxa" w:w="5499"/>
            <w:tcMar>
              <w:top w:w="110" w:type="dxa"/>
              <w:start w:w="120" w:type="dxa"/>
              <w:bottom w:w="110" w:type="dxa"/>
              <w:end w:w="120" w:type="dxa"/>
            </w:tcMar>
            <w:shd w:fill="F3F5F4"/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6"/>
              </w:rPr>
              <w:t>[Atti, scadenze, condizioni, consegna]</w:t>
            </w:r>
          </w:p>
        </w:tc>
        <w:tc>
          <w:tcPr>
            <w:tcW w:type="dxa" w:w="2041"/>
            <w:tcMar>
              <w:top w:w="110" w:type="dxa"/>
              <w:start w:w="120" w:type="dxa"/>
              <w:bottom w:w="110" w:type="dxa"/>
              <w:end w:w="120" w:type="dxa"/>
            </w:tcMar>
            <w:shd w:fill="F3F5F4"/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6"/>
              </w:rPr>
              <w:t>[ ]</w:t>
            </w:r>
          </w:p>
        </w:tc>
      </w:tr>
    </w:tbl>
    <w:p>
      <w:pPr>
        <w:spacing w:after="120"/>
      </w:pPr>
      <w:r>
        <w:rPr>
          <w:b/>
          <w:color w:val="142B3E"/>
        </w:rPr>
        <w:t xml:space="preserve">Punti indispensabili prima di procedere  </w:t>
      </w:r>
      <w:r>
        <w:rPr>
          <w:color w:val="607282"/>
        </w:rPr>
        <w:t>[Elencare le condizioni determinanti]</w:t>
      </w:r>
    </w:p>
    <w:p>
      <w:pPr>
        <w:pStyle w:val="Heading1"/>
      </w:pPr>
      <w:r>
        <w:t>Fonti e riferimenti per la verifica</w:t>
      </w:r>
    </w:p>
    <w:p>
      <w:pPr>
        <w:pStyle w:val="SmallNote"/>
      </w:pPr>
      <w:r>
        <w:t>Verificato al 04.11.2026. Controllare la versione vigente e il caso concreto prima di utilizzare i modelli.</w:t>
      </w:r>
    </w:p>
    <w:p>
      <w:pPr>
        <w:pStyle w:val="SmallNote"/>
        <w:spacing w:after="40"/>
      </w:pPr>
      <w:r>
        <w:t xml:space="preserve">•  </w:t>
      </w:r>
      <w:r>
        <w:t xml:space="preserve">Codice civile, art. 2556 (trasferimento d’azienda) — </w:t>
      </w:r>
      <w:hyperlink r:id="rId11">
        <w:r>
          <w:rPr>
            <w:color w:val="142B3E"/>
            <w:u w:val="single"/>
          </w:rPr>
          <w:t>apri fonte</w:t>
        </w:r>
      </w:hyperlink>
    </w:p>
    <w:p>
      <w:pPr>
        <w:pStyle w:val="SmallNote"/>
        <w:spacing w:after="40"/>
      </w:pPr>
      <w:r>
        <w:t xml:space="preserve">•  </w:t>
      </w:r>
      <w:r>
        <w:t xml:space="preserve">Codice civile, art. 2112 (rapporti di lavoro nel trasferimento) — </w:t>
      </w:r>
      <w:hyperlink r:id="rId12">
        <w:r>
          <w:rPr>
            <w:color w:val="142B3E"/>
            <w:u w:val="single"/>
          </w:rPr>
          <w:t>apri fonte</w:t>
        </w:r>
      </w:hyperlink>
    </w:p>
    <w:p>
      <w:pPr>
        <w:pStyle w:val="SmallNote"/>
        <w:spacing w:after="40"/>
      </w:pPr>
      <w:r>
        <w:t xml:space="preserve">•  </w:t>
      </w:r>
      <w:r>
        <w:t xml:space="preserve">Legge 428/1990, art. 47 (informazione sindacale) — </w:t>
      </w:r>
      <w:hyperlink r:id="rId13">
        <w:r>
          <w:rPr>
            <w:color w:val="142B3E"/>
            <w:u w:val="single"/>
          </w:rPr>
          <w:t>apri fonte</w:t>
        </w:r>
      </w:hyperlink>
    </w:p>
    <w:p>
      <w:pPr>
        <w:pStyle w:val="SmallNote"/>
        <w:spacing w:after="40"/>
      </w:pPr>
      <w:r>
        <w:t xml:space="preserve">•  </w:t>
      </w:r>
      <w:r>
        <w:t xml:space="preserve">D.lgs. 30/2005, Codice della proprietà industriale — </w:t>
      </w:r>
      <w:hyperlink r:id="rId14">
        <w:r>
          <w:rPr>
            <w:color w:val="142B3E"/>
            <w:u w:val="single"/>
          </w:rPr>
          <w:t>apri fonte</w:t>
        </w:r>
      </w:hyperlink>
    </w:p>
    <w:sectPr w:rsidR="00FC693F" w:rsidRPr="0006063C" w:rsidSect="00034616">
      <w:headerReference w:type="default" r:id="rId9"/>
      <w:footerReference w:type="default" r:id="rId10"/>
      <w:pgSz w:w="11906" w:h="16838"/>
      <w:pgMar w:top="1162" w:right="1219" w:bottom="1020" w:left="1219" w:header="539" w:footer="52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rPr>
        <w:rFonts w:ascii="Lato" w:hAnsi="Lato"/>
        <w:color w:val="607282"/>
        <w:sz w:val="14"/>
      </w:rPr>
      <w:t xml:space="preserve">imprendereora.com  |  Kit Brand Storici  •  Ed. 04.11.2026  |  Pag.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color="B48E5D"/>
      </w:pBdr>
    </w:pPr>
    <w:r>
      <w:rPr>
        <w:rFonts w:ascii="Lato" w:hAnsi="Lato"/>
        <w:b/>
        <w:color w:val="142B3E"/>
        <w:sz w:val="16"/>
      </w:rPr>
      <w:t>IMPRENDEREORA</w:t>
    </w:r>
    <w:r>
      <w:rPr>
        <w:rFonts w:ascii="Lato" w:hAnsi="Lato"/>
        <w:color w:val="B48E5D"/>
        <w:sz w:val="15"/>
      </w:rPr>
      <w:t xml:space="preserve">     /     HERITAGE  ·  KIT 05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83" w:lineRule="auto"/>
    </w:pPr>
    <w:rPr>
      <w:rFonts w:ascii="Lato" w:hAnsi="Lato"/>
      <w:color w:val="243343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40"/>
      <w:outlineLvl w:val="0"/>
    </w:pPr>
    <w:rPr>
      <w:rFonts w:asciiTheme="majorHAnsi" w:eastAsiaTheme="majorEastAsia" w:hAnsiTheme="majorHAnsi" w:cstheme="majorBidi" w:ascii="Lato" w:hAnsi="Lato"/>
      <w:b/>
      <w:bCs/>
      <w:color w:val="142B3E"/>
      <w:sz w:val="27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 w:ascii="Lato" w:hAnsi="Lato"/>
      <w:b/>
      <w:bCs/>
      <w:color w:val="142B3E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40" w:after="60"/>
      <w:outlineLvl w:val="2"/>
    </w:pPr>
    <w:rPr>
      <w:rFonts w:asciiTheme="majorHAnsi" w:eastAsiaTheme="majorEastAsia" w:hAnsiTheme="majorHAnsi" w:cstheme="majorBidi" w:ascii="Lato" w:hAnsi="Lato"/>
      <w:b/>
      <w:bCs/>
      <w:color w:val="142B3E"/>
      <w:sz w:val="19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200" w:line="240" w:lineRule="auto" w:before="0"/>
      <w:contextualSpacing/>
    </w:pPr>
    <w:rPr>
      <w:rFonts w:asciiTheme="majorHAnsi" w:eastAsiaTheme="majorEastAsia" w:hAnsiTheme="majorHAnsi" w:cstheme="majorBidi" w:ascii="Lato" w:hAnsi="Lato"/>
      <w:b/>
      <w:color w:val="142B3E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Kicker">
    <w:name w:val="Kicker"/>
    <w:pPr>
      <w:spacing w:before="0" w:after="160"/>
    </w:pPr>
    <w:rPr>
      <w:rFonts w:ascii="Lato" w:hAnsi="Lato"/>
      <w:b/>
      <w:color w:val="B48E5D"/>
      <w:sz w:val="16"/>
    </w:rPr>
  </w:style>
  <w:style w:type="paragraph" w:customStyle="1" w:styleId="Deck">
    <w:name w:val="Deck"/>
    <w:pPr>
      <w:spacing w:before="0" w:after="260"/>
    </w:pPr>
    <w:rPr>
      <w:rFonts w:ascii="Lato" w:hAnsi="Lato"/>
      <w:b w:val="0"/>
      <w:color w:val="607282"/>
      <w:sz w:val="22"/>
    </w:rPr>
  </w:style>
  <w:style w:type="paragraph" w:customStyle="1" w:styleId="SmallNote">
    <w:name w:val="Small Note"/>
    <w:pPr>
      <w:spacing w:before="80" w:after="120"/>
    </w:pPr>
    <w:rPr>
      <w:rFonts w:ascii="Lato" w:hAnsi="Lato"/>
      <w:b w:val="0"/>
      <w:color w:val="607282"/>
      <w:sz w:val="16"/>
    </w:rPr>
  </w:style>
  <w:style w:type="paragraph" w:customStyle="1" w:styleId="TableBody">
    <w:name w:val="Table Body"/>
    <w:pPr>
      <w:spacing w:before="0" w:after="0"/>
    </w:pPr>
    <w:rPr>
      <w:rFonts w:ascii="Lato" w:hAnsi="Lato"/>
      <w:b w:val="0"/>
      <w:color w:val="243343"/>
      <w:sz w:val="17"/>
    </w:rPr>
  </w:style>
  <w:style w:type="paragraph" w:customStyle="1" w:styleId="SectionLead">
    <w:name w:val="Section Lead"/>
    <w:pPr>
      <w:spacing w:before="140" w:after="80"/>
    </w:pPr>
    <w:rPr>
      <w:rFonts w:ascii="Lato" w:hAnsi="Lato"/>
      <w:b/>
      <w:color w:val="142B3E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def.finanze.it/DocTribFrontend/getAttoNormativoDetail.do?ACTION=getArticolo&amp;codiceOrdinamento=0000000000025560000000000000000000000000000000000000000000000000000000000000000000000000000000000000000000000000000000000000000000&amp;id=%7B9E93F1BE-06AE-4F24-8E9D-B838F7E0C2E6%7D" TargetMode="External"/><Relationship Id="rId12" Type="http://schemas.openxmlformats.org/officeDocument/2006/relationships/hyperlink" Target="https://www.lavoro.gov.it/temi-e-priorita/rapporti-di-lavoro-e-relazioni-industriali/focus-on/disciplina-rapporto-lavoro/pagine/trasferimento-d%27azienda" TargetMode="External"/><Relationship Id="rId13" Type="http://schemas.openxmlformats.org/officeDocument/2006/relationships/hyperlink" Target="https://www.normattiva.it/atto/caricaDettaglioAtto?atto.articolo.numero=47&amp;atto.articolo.sottoArticolo=1&amp;atto.articolo.tipoArticolo=0&amp;atto.codiceRedazionale=091G0013&amp;atto.dataPubblicazioneGazzetta=1991-01-12" TargetMode="External"/><Relationship Id="rId14" Type="http://schemas.openxmlformats.org/officeDocument/2006/relationships/hyperlink" Target="https://www.normattiva.it/atto/caricaDettaglioAtto?atto.codiceRedazionale=005G0055&amp;atto.dataPubblicazioneGazzetta=2005-03-04&amp;tipoDettaglio=vigen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Offerta indicativa non vincolante</dc:title>
  <dc:subject>Kit Brand Storici — Heritage</dc:subject>
  <dc:creator>ImprendereOra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