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06 / GUIDA LEGALE SEMPLIFICATA</w:t>
      </w:r>
    </w:p>
    <w:p>
      <w:pPr>
        <w:pStyle w:val="Title"/>
        <w:keepNext w:val="0"/>
        <w:spacing w:before="0" w:after="100" w:line="259" w:lineRule="auto"/>
      </w:pPr>
      <w:r>
        <w:t>Patti parasociali senza gergo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Le clausole da comprendere prima di acquisire una quota di minoranza in una PMI o startup.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Patti parasociali ≠ statuto.</w:t>
            </w:r>
            <w:r>
              <w:t xml:space="preserve"> Lo statuto regola la società e richiede determinate formalità; i patti disciplinano impegni tra i firmatari e la loro efficacia verso terzi dipende dal diritto applicabile. Non copiare clausole senza adattarle alla forma societaria.</w:t>
            </w:r>
          </w:p>
        </w:tc>
      </w:tr>
    </w:tbl>
    <w:p>
      <w:pPr>
        <w:spacing w:after="0"/>
      </w:pPr>
    </w:p>
    <w:p>
      <w:pPr>
        <w:pStyle w:val="Heading2"/>
      </w:pPr>
      <w:r>
        <w:t>01 · Diritti di informazione</w:t>
      </w:r>
    </w:p>
    <w:p>
      <w:pPr>
        <w:keepNext w:val="0"/>
        <w:spacing w:before="0" w:after="120" w:line="286" w:lineRule="auto"/>
      </w:pPr>
      <w:r>
        <w:t xml:space="preserve">Reporting periodico su ricavi, cassa, debiti, milestone e budget. </w:t>
      </w:r>
      <w:r>
        <w:rPr>
          <w:b/>
        </w:rPr>
        <w:t>Da negoziare:</w:t>
      </w:r>
      <w:r>
        <w:t xml:space="preserve"> Chi invia cosa? Con quale frequenza? Cosa accade se non risponde?</w:t>
      </w:r>
    </w:p>
    <w:p>
      <w:pPr>
        <w:pStyle w:val="Heading2"/>
      </w:pPr>
      <w:r>
        <w:t>02 · Materie riservate / veto</w:t>
      </w:r>
    </w:p>
    <w:p>
      <w:pPr>
        <w:keepNext w:val="0"/>
        <w:spacing w:before="0" w:after="120" w:line="286" w:lineRule="auto"/>
      </w:pPr>
      <w:r>
        <w:t xml:space="preserve">Decisioni che richiedono consenso specifico, come nuovo debito sopra una soglia o emissione quote. </w:t>
      </w:r>
      <w:r>
        <w:rPr>
          <w:b/>
        </w:rPr>
        <w:t>Da negoziare:</w:t>
      </w:r>
      <w:r>
        <w:t xml:space="preserve"> Il veto è limitato a decisioni davvero eccezionali o blocca la gestione ordinaria?</w:t>
      </w:r>
    </w:p>
    <w:p>
      <w:pPr>
        <w:pStyle w:val="Heading2"/>
      </w:pPr>
      <w:r>
        <w:t>03 · Prelazione</w:t>
      </w:r>
    </w:p>
    <w:p>
      <w:pPr>
        <w:keepNext w:val="0"/>
        <w:spacing w:before="0" w:after="120" w:line="286" w:lineRule="auto"/>
      </w:pPr>
      <w:r>
        <w:t xml:space="preserve">Prima di vendere le quote a terzi, il socio deve offrirle agli altri alle condizioni stabilite. </w:t>
      </w:r>
      <w:r>
        <w:rPr>
          <w:b/>
        </w:rPr>
        <w:t>Da negoziare:</w:t>
      </w:r>
      <w:r>
        <w:t xml:space="preserve"> Prezzo, tempi, eccezioni e procedura sono chiari?</w:t>
      </w:r>
    </w:p>
    <w:p>
      <w:pPr>
        <w:pStyle w:val="Heading2"/>
      </w:pPr>
      <w:r>
        <w:t>04 · Gradimento</w:t>
      </w:r>
    </w:p>
    <w:p>
      <w:pPr>
        <w:keepNext w:val="0"/>
        <w:spacing w:before="0" w:after="120" w:line="286" w:lineRule="auto"/>
      </w:pPr>
      <w:r>
        <w:t xml:space="preserve">Una cessione può essere subordinata a un consenso individuato nell’atto applicabile. </w:t>
      </w:r>
      <w:r>
        <w:rPr>
          <w:b/>
        </w:rPr>
        <w:t>Da negoziare:</w:t>
      </w:r>
      <w:r>
        <w:t xml:space="preserve"> Quali criteri? C’è rischio di quote invendibili?</w:t>
      </w:r>
    </w:p>
    <w:p>
      <w:pPr>
        <w:pStyle w:val="Heading2"/>
      </w:pPr>
      <w:r>
        <w:t>05 · Tag-along (co-vendita)</w:t>
      </w:r>
    </w:p>
    <w:p>
      <w:pPr>
        <w:keepNext w:val="0"/>
        <w:spacing w:before="0" w:after="120" w:line="286" w:lineRule="auto"/>
      </w:pPr>
      <w:r>
        <w:t xml:space="preserve">Il socio di minoranza può chiedere di vendere insieme al socio che cede il controllo. </w:t>
      </w:r>
      <w:r>
        <w:rPr>
          <w:b/>
        </w:rPr>
        <w:t>Da negoziare:</w:t>
      </w:r>
      <w:r>
        <w:t xml:space="preserve"> La vendita copre la medesima percentuale e condizioni economiche?</w:t>
      </w:r>
    </w:p>
    <w:p>
      <w:pPr>
        <w:pStyle w:val="Heading2"/>
      </w:pPr>
      <w:r>
        <w:t>06 · Drag-along (trascinamento)</w:t>
      </w:r>
    </w:p>
    <w:p>
      <w:pPr>
        <w:keepNext w:val="0"/>
        <w:spacing w:before="0" w:after="120" w:line="286" w:lineRule="auto"/>
      </w:pPr>
      <w:r>
        <w:t xml:space="preserve">A certe condizioni alcuni soci possono obbligare altri a vendere nella medesima operazione. </w:t>
      </w:r>
      <w:r>
        <w:rPr>
          <w:b/>
        </w:rPr>
        <w:t>Da negoziare:</w:t>
      </w:r>
      <w:r>
        <w:t xml:space="preserve"> Prezzo minimo, condizioni e tutele della minoranza sono disciplinati?</w:t>
      </w:r>
    </w:p>
    <w:p>
      <w:pPr>
        <w:pStyle w:val="Heading2"/>
      </w:pPr>
      <w:r>
        <w:t>07 · Lock-up</w:t>
      </w:r>
    </w:p>
    <w:p>
      <w:pPr>
        <w:keepNext w:val="0"/>
        <w:spacing w:before="0" w:after="120" w:line="286" w:lineRule="auto"/>
      </w:pPr>
      <w:r>
        <w:t xml:space="preserve">Vincolo temporaneo alla cessione delle partecipazioni. </w:t>
      </w:r>
      <w:r>
        <w:rPr>
          <w:b/>
        </w:rPr>
        <w:t>Da negoziare:</w:t>
      </w:r>
      <w:r>
        <w:t xml:space="preserve"> Durata e casi eccezionali ragionevoli?</w:t>
      </w:r>
    </w:p>
    <w:p>
      <w:pPr>
        <w:pStyle w:val="Heading2"/>
      </w:pPr>
      <w:r>
        <w:t>08 · Anti-diluizione / opzione</w:t>
      </w:r>
    </w:p>
    <w:p>
      <w:pPr>
        <w:keepNext w:val="0"/>
        <w:spacing w:before="0" w:after="120" w:line="286" w:lineRule="auto"/>
      </w:pPr>
      <w:r>
        <w:t xml:space="preserve">Meccanismi negoziali per gestire aumenti di capitale a valutazioni inferiori o diritti di sottoscrizione. </w:t>
      </w:r>
      <w:r>
        <w:rPr>
          <w:b/>
        </w:rPr>
        <w:t>Da negoziare:</w:t>
      </w:r>
      <w:r>
        <w:t xml:space="preserve"> Qual è la formula? Chi sopporta la diluizione?</w:t>
      </w:r>
    </w:p>
    <w:p>
      <w:pPr>
        <w:pStyle w:val="Heading2"/>
      </w:pPr>
      <w:r>
        <w:t>09 · Vesting e leaver</w:t>
      </w:r>
    </w:p>
    <w:p>
      <w:pPr>
        <w:keepNext w:val="0"/>
        <w:spacing w:before="0" w:after="120" w:line="286" w:lineRule="auto"/>
      </w:pPr>
      <w:r>
        <w:t xml:space="preserve">Maturazione progressiva di quote o diritti legati alla permanenza / attività. </w:t>
      </w:r>
      <w:r>
        <w:rPr>
          <w:b/>
        </w:rPr>
        <w:t>Da negoziare:</w:t>
      </w:r>
      <w:r>
        <w:t xml:space="preserve"> Quali eventi costituiscono good leaver o bad leaver? Prezzo e riacquisto sono validi?</w:t>
      </w:r>
    </w:p>
    <w:p>
      <w:pPr>
        <w:pStyle w:val="Heading2"/>
      </w:pPr>
      <w:r>
        <w:t>10 · Governance e amministratori</w:t>
      </w:r>
    </w:p>
    <w:p>
      <w:pPr>
        <w:keepNext w:val="0"/>
        <w:spacing w:before="0" w:after="120" w:line="286" w:lineRule="auto"/>
      </w:pPr>
      <w:r>
        <w:t xml:space="preserve">Nomina di amministratori, observer o comitati; eventuali deleghe. </w:t>
      </w:r>
      <w:r>
        <w:rPr>
          <w:b/>
        </w:rPr>
        <w:t>Da negoziare:</w:t>
      </w:r>
      <w:r>
        <w:t xml:space="preserve"> Essere investitore non significa automaticamente amministrare la società.</w:t>
      </w:r>
    </w:p>
    <w:p>
      <w:pPr>
        <w:pStyle w:val="Heading2"/>
      </w:pPr>
      <w:r>
        <w:t>11 · Deadlock</w:t>
      </w:r>
    </w:p>
    <w:p>
      <w:pPr>
        <w:keepNext w:val="0"/>
        <w:spacing w:before="0" w:after="120" w:line="286" w:lineRule="auto"/>
      </w:pPr>
      <w:r>
        <w:t xml:space="preserve">Procedura per sbloccare decisioni quando i soci non trovano accordo. </w:t>
      </w:r>
      <w:r>
        <w:rPr>
          <w:b/>
        </w:rPr>
        <w:t>Da negoziare:</w:t>
      </w:r>
      <w:r>
        <w:t xml:space="preserve"> Mediazione, escalation, buy-sell: tempi e rischi sono sostenibili?</w:t>
      </w:r>
    </w:p>
    <w:p>
      <w:pPr>
        <w:pStyle w:val="Heading2"/>
      </w:pPr>
      <w:r>
        <w:t>12 · Distribuzioni e reinvestimento</w:t>
      </w:r>
    </w:p>
    <w:p>
      <w:pPr>
        <w:keepNext w:val="0"/>
        <w:spacing w:before="0" w:after="120" w:line="286" w:lineRule="auto"/>
      </w:pPr>
      <w:r>
        <w:t xml:space="preserve">Politiche su dividendi, riserve, nuovi finanziamenti e cash needs. </w:t>
      </w:r>
      <w:r>
        <w:rPr>
          <w:b/>
        </w:rPr>
        <w:t>Da negoziare:</w:t>
      </w:r>
      <w:r>
        <w:t xml:space="preserve"> Non confondere diritto a utili con dividendo garantito.</w:t>
      </w:r>
    </w:p>
    <w:p>
      <w:pPr>
        <w:pStyle w:val="Heading2"/>
      </w:pPr>
      <w:r>
        <w:t>13 · Exit e change of control</w:t>
      </w:r>
    </w:p>
    <w:p>
      <w:pPr>
        <w:keepNext w:val="0"/>
        <w:spacing w:before="0" w:after="120" w:line="286" w:lineRule="auto"/>
      </w:pPr>
      <w:r>
        <w:t xml:space="preserve">Procedura in caso di vendita dell’azienda, fusione o trasferimento del controllo. </w:t>
      </w:r>
      <w:r>
        <w:rPr>
          <w:b/>
        </w:rPr>
        <w:t>Da negoziare:</w:t>
      </w:r>
      <w:r>
        <w:t xml:space="preserve"> Eventuali preferenze e priorità di pagamento sono esplicitate?</w:t>
      </w:r>
    </w:p>
    <w:p>
      <w:pPr>
        <w:pStyle w:val="Heading2"/>
      </w:pPr>
      <w:r>
        <w:t>14 · Conflitti d’interesse</w:t>
      </w:r>
    </w:p>
    <w:p>
      <w:pPr>
        <w:keepNext w:val="0"/>
        <w:spacing w:before="0" w:after="120" w:line="286" w:lineRule="auto"/>
      </w:pPr>
      <w:r>
        <w:t xml:space="preserve">Regole quando un socio presta consulenza, vende servizi o finanzia l’impresa. </w:t>
      </w:r>
      <w:r>
        <w:rPr>
          <w:b/>
        </w:rPr>
        <w:t>Da negoziare:</w:t>
      </w:r>
      <w:r>
        <w:t xml:space="preserve"> Come si approvano operazioni con parti correlate?</w:t>
      </w:r>
    </w:p>
    <w:p>
      <w:pPr>
        <w:pStyle w:val="Heading2"/>
      </w:pPr>
      <w:r>
        <w:t>15 · Durata, recesso e controversie</w:t>
      </w:r>
    </w:p>
    <w:p>
      <w:pPr>
        <w:keepNext w:val="0"/>
        <w:spacing w:before="0" w:after="120" w:line="286" w:lineRule="auto"/>
      </w:pPr>
      <w:r>
        <w:t xml:space="preserve">Durata applicabile, risoluzione, legge, foro o strumenti alternativi. </w:t>
      </w:r>
      <w:r>
        <w:rPr>
          <w:b/>
        </w:rPr>
        <w:t>Da negoziare:</w:t>
      </w:r>
      <w:r>
        <w:t xml:space="preserve"> L’art. 2341-bis c.c. per certe S.p.A. fissa specifici limiti; non estendere automaticamente la regola a ogni S.r.l.</w:t>
      </w:r>
    </w:p>
    <w:p>
      <w:pPr>
        <w:pStyle w:val="Heading1"/>
      </w:pPr>
      <w:r>
        <w:t>Tre esempi di tensione reale</w:t>
      </w:r>
    </w:p>
    <w:p>
      <w:pPr>
        <w:pStyle w:val="ListBullet"/>
        <w:keepNext w:val="0"/>
        <w:spacing w:before="0" w:after="100" w:line="276" w:lineRule="auto"/>
      </w:pPr>
      <w:r>
        <w:rPr>
          <w:b/>
        </w:rPr>
        <w:t>Aumento di capitale:</w:t>
      </w:r>
      <w:r>
        <w:t xml:space="preserve"> un socio scende dal 10% al 7% dopo nuovi round. La formula di diluizione va simulata prima della firma.</w:t>
      </w:r>
    </w:p>
    <w:p>
      <w:pPr>
        <w:pStyle w:val="ListBullet"/>
        <w:keepNext w:val="0"/>
        <w:spacing w:before="0" w:after="100" w:line="276" w:lineRule="auto"/>
      </w:pPr>
      <w:r>
        <w:rPr>
          <w:b/>
        </w:rPr>
        <w:t>Vendita del 60%:</w:t>
      </w:r>
      <w:r>
        <w:t xml:space="preserve"> il founder vende il controllo ma la minoranza resta vincolata. Una clausola di co-vendita può cambiare l’esito, se valida e applicabile.</w:t>
      </w:r>
    </w:p>
    <w:p>
      <w:pPr>
        <w:pStyle w:val="ListBullet"/>
        <w:keepNext w:val="0"/>
        <w:spacing w:before="0" w:after="100" w:line="276" w:lineRule="auto"/>
      </w:pPr>
      <w:r>
        <w:rPr>
          <w:b/>
        </w:rPr>
        <w:t>Consulente-socio:</w:t>
      </w:r>
      <w:r>
        <w:t xml:space="preserve"> riceve quote ma non consegna le ore promesse. Servono obblighi autonomi, rimedi e trattamento delle quote, senza presumere che tutto sia automaticamente recuperabile.</w:t>
      </w:r>
    </w:p>
    <w:p>
      <w:pPr>
        <w:pStyle w:val="Heading1"/>
      </w:pPr>
      <w:r>
        <w:t>Checklist per l’avvocato societario</w:t>
      </w:r>
    </w:p>
    <w:p>
      <w:pPr>
        <w:keepNext w:val="0"/>
        <w:spacing w:before="0" w:after="140" w:line="274" w:lineRule="auto"/>
      </w:pPr>
      <w:r>
        <w:t>☐  Che cosa deve stare nello statuto e che cosa può stare nei patti?</w:t>
      </w:r>
    </w:p>
    <w:p>
      <w:pPr>
        <w:keepNext w:val="0"/>
        <w:spacing w:before="0" w:after="140" w:line="274" w:lineRule="auto"/>
      </w:pPr>
      <w:r>
        <w:t>☐  Quali clausole richiedono forma o procedure particolari per una S.r.l. o una S.p.A.?</w:t>
      </w:r>
    </w:p>
    <w:p>
      <w:pPr>
        <w:keepNext w:val="0"/>
        <w:spacing w:before="0" w:after="140" w:line="274" w:lineRule="auto"/>
      </w:pPr>
      <w:r>
        <w:t>☐  Quali quorum o consensi possono rendere impraticabile la gestione ordinaria?</w:t>
      </w:r>
    </w:p>
    <w:p>
      <w:pPr>
        <w:keepNext w:val="0"/>
        <w:spacing w:before="0" w:after="140" w:line="274" w:lineRule="auto"/>
      </w:pPr>
      <w:r>
        <w:t>☐  Diritti, prezzo, durata e rimedi sono realmente applicabili nel caso specifico?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Materiale operativo di carattere generale: non costituisce consulenza d’investimento, invito al pubblico risparmio, attività di intermediazione o garanzia di rendimento. Verificare i documenti con professionisti qualificati prima di assumere obbligazioni.</w:t>
            </w:r>
          </w:p>
        </w:tc>
      </w:tr>
    </w:tbl>
    <w:p>
      <w:pPr>
        <w:spacing w:after="0"/>
      </w:pPr>
    </w:p>
    <w:p>
      <w:pPr>
        <w:pStyle w:val="Heading1"/>
      </w:pPr>
      <w:r>
        <w:t>Fonti e riferimenti di verifica</w:t>
      </w:r>
    </w:p>
    <w:p>
      <w:pPr>
        <w:keepNext w:val="0"/>
        <w:spacing w:before="0" w:after="80" w:line="286" w:lineRule="auto"/>
      </w:pPr>
      <w:r>
        <w:rPr>
          <w:sz w:val="16"/>
        </w:rPr>
        <w:t xml:space="preserve">•  Normattiva – Codice civile, art. 2341-bis e disciplina società — </w:t>
      </w:r>
      <w:hyperlink r:id="rId11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Registro Imprese – fascicolo societario — </w:t>
      </w:r>
      <w:hyperlink r:id="rId12">
        <w:r>
          <w:rPr>
            <w:color w:val="0C8F8A"/>
            <w:u w:val="single"/>
          </w:rPr>
          <w:t>Apri fonte ufficiale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MICRO-ANGEL  •  SEZIONE 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ormattiva.it/atto/caricaDettaglioAtto?atto.codiceRedazionale=042U0262&amp;atto.dataPubblicazioneGazzetta=1942-04-04&amp;tipoDettaglio=vigente" TargetMode="External"/><Relationship Id="rId12" Type="http://schemas.openxmlformats.org/officeDocument/2006/relationships/hyperlink" Target="https://www.registroimprese.it/fascic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