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00 / GUIDA AL PACCHETTO</w:t>
      </w:r>
    </w:p>
    <w:p>
      <w:pPr>
        <w:pStyle w:val="Title"/>
        <w:keepNext w:val="0"/>
        <w:spacing w:before="0" w:after="100" w:line="259" w:lineRule="auto"/>
      </w:pPr>
      <w:r>
        <w:t>Kit Micro-Angel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Otto strumenti operativi per valutare un progetto, negoziare in modo consapevole e gestire scambi informativi.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EAF5F3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Edizione 4 novembre 2026.</w:t>
            </w:r>
            <w:r>
              <w:t xml:space="preserve"> Le guide sono strumenti informativi; i contratti sono </w:t>
            </w:r>
            <w:r>
              <w:rPr>
                <w:b/>
              </w:rPr>
              <w:t>modelli non personalizzati da rivedere con un avvocato</w:t>
            </w:r>
            <w:r>
              <w:t>. La verifica del badge richiede una procedura realmente implementata prima di pubblicizzarla.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4075"/>
        <w:gridCol w:w="4680"/>
      </w:tblGrid>
      <w:tr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N.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Documento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Utilizzo</w:t>
            </w:r>
          </w:p>
        </w:tc>
      </w:tr>
      <w:tr>
        <w:tc>
          <w:tcPr>
            <w:tcW w:type="dxa" w:w="60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01</w:t>
            </w:r>
          </w:p>
        </w:tc>
        <w:tc>
          <w:tcPr>
            <w:tcW w:type="dxa" w:w="407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Guida al Micro-Angel: le 5 domande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Per il primo colloquio con il founder.</w:t>
            </w:r>
          </w:p>
        </w:tc>
      </w:tr>
      <w:tr>
        <w:tc>
          <w:tcPr>
            <w:tcW w:type="dxa" w:w="60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02</w:t>
            </w:r>
          </w:p>
        </w:tc>
        <w:tc>
          <w:tcPr>
            <w:tcW w:type="dxa" w:w="407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Aspettative realistiche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Per capire perdita, liquidità, tempi e diversificazione.</w:t>
            </w:r>
          </w:p>
        </w:tc>
      </w:tr>
      <w:tr>
        <w:tc>
          <w:tcPr>
            <w:tcW w:type="dxa" w:w="60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03</w:t>
            </w:r>
          </w:p>
        </w:tc>
        <w:tc>
          <w:tcPr>
            <w:tcW w:type="dxa" w:w="407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NDA — accordo di riservatezza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Da personalizzare prima di scambiare documenti sensibili.</w:t>
            </w:r>
          </w:p>
        </w:tc>
      </w:tr>
      <w:tr>
        <w:tc>
          <w:tcPr>
            <w:tcW w:type="dxa" w:w="60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04</w:t>
            </w:r>
          </w:p>
        </w:tc>
        <w:tc>
          <w:tcPr>
            <w:tcW w:type="dxa" w:w="407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Lettera d’intenti / term sheet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Per mettere per iscritto termini iniziali e limiti vincolanti.</w:t>
            </w:r>
          </w:p>
        </w:tc>
      </w:tr>
      <w:tr>
        <w:tc>
          <w:tcPr>
            <w:tcW w:type="dxa" w:w="60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05</w:t>
            </w:r>
          </w:p>
        </w:tc>
        <w:tc>
          <w:tcPr>
            <w:tcW w:type="dxa" w:w="407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Due diligence in 15 punti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Per chiedere prove, annotare criticità e decidere il follow-up.</w:t>
            </w:r>
          </w:p>
        </w:tc>
      </w:tr>
      <w:tr>
        <w:tc>
          <w:tcPr>
            <w:tcW w:type="dxa" w:w="60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06</w:t>
            </w:r>
          </w:p>
        </w:tc>
        <w:tc>
          <w:tcPr>
            <w:tcW w:type="dxa" w:w="407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Patti parasociali in parole semplici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Per capire diritti, limiti e clausole della minoranza.</w:t>
            </w:r>
          </w:p>
        </w:tc>
      </w:tr>
      <w:tr>
        <w:tc>
          <w:tcPr>
            <w:tcW w:type="dxa" w:w="60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07</w:t>
            </w:r>
          </w:p>
        </w:tc>
        <w:tc>
          <w:tcPr>
            <w:tcW w:type="dxa" w:w="407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Socio che investe e presta consulenza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Per tenere distinti investimento, ore, compensi e IP.</w:t>
            </w:r>
          </w:p>
        </w:tc>
      </w:tr>
      <w:tr>
        <w:tc>
          <w:tcPr>
            <w:tcW w:type="dxa" w:w="60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08</w:t>
            </w:r>
          </w:p>
        </w:tc>
        <w:tc>
          <w:tcPr>
            <w:tcW w:type="dxa" w:w="4075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Questionario “Investitore verificato”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Per progettare un badge di verifica del profilo, non finanziaria.</w:t>
            </w:r>
          </w:p>
        </w:tc>
      </w:tr>
    </w:tbl>
    <w:p>
      <w:pPr>
        <w:spacing w:after="0"/>
      </w:pPr>
    </w:p>
    <w:p>
      <w:pPr>
        <w:pStyle w:val="Heading1"/>
      </w:pPr>
      <w:r>
        <w:t>Ordine consigliato</w:t>
      </w:r>
    </w:p>
    <w:p>
      <w:pPr>
        <w:pStyle w:val="ListNumber"/>
        <w:keepNext w:val="0"/>
        <w:spacing w:before="0" w:after="100" w:line="276" w:lineRule="auto"/>
      </w:pPr>
      <w:r>
        <w:t xml:space="preserve">Leggi le </w:t>
      </w:r>
      <w:r>
        <w:rPr>
          <w:b/>
        </w:rPr>
        <w:t>5 domande</w:t>
      </w:r>
      <w:r>
        <w:t xml:space="preserve"> e la guida ai </w:t>
      </w:r>
      <w:r>
        <w:rPr>
          <w:b/>
        </w:rPr>
        <w:t>rischi</w:t>
      </w:r>
      <w:r>
        <w:t xml:space="preserve"> prima del primo contatto.</w:t>
      </w:r>
    </w:p>
    <w:p>
      <w:pPr>
        <w:pStyle w:val="ListNumber"/>
        <w:keepNext w:val="0"/>
        <w:spacing w:before="0" w:after="100" w:line="276" w:lineRule="auto"/>
      </w:pPr>
      <w:r>
        <w:t>Se necessario condividere materiale sensibile, valuta la firma dell’</w:t>
      </w:r>
      <w:r>
        <w:rPr>
          <w:b/>
        </w:rPr>
        <w:t>NDA</w:t>
      </w:r>
      <w:r>
        <w:t>.</w:t>
      </w:r>
    </w:p>
    <w:p>
      <w:pPr>
        <w:pStyle w:val="ListNumber"/>
        <w:keepNext w:val="0"/>
        <w:spacing w:before="0" w:after="100" w:line="276" w:lineRule="auto"/>
      </w:pPr>
      <w:r>
        <w:t xml:space="preserve">Usa la </w:t>
      </w:r>
      <w:r>
        <w:rPr>
          <w:b/>
        </w:rPr>
        <w:t>checklist di due diligence</w:t>
      </w:r>
      <w:r>
        <w:t xml:space="preserve"> per documentare i controlli.</w:t>
      </w:r>
    </w:p>
    <w:p>
      <w:pPr>
        <w:pStyle w:val="ListNumber"/>
        <w:keepNext w:val="0"/>
        <w:spacing w:before="0" w:after="100" w:line="276" w:lineRule="auto"/>
      </w:pPr>
      <w:r>
        <w:t xml:space="preserve">Confronta diritti societari con la </w:t>
      </w:r>
      <w:r>
        <w:rPr>
          <w:b/>
        </w:rPr>
        <w:t>guida ai patti parasociali</w:t>
      </w:r>
      <w:r>
        <w:t xml:space="preserve"> e negozia il </w:t>
      </w:r>
      <w:r>
        <w:rPr>
          <w:b/>
        </w:rPr>
        <w:t>term sheet</w:t>
      </w:r>
      <w:r>
        <w:t>.</w:t>
      </w:r>
    </w:p>
    <w:p>
      <w:pPr>
        <w:pStyle w:val="ListNumber"/>
        <w:keepNext w:val="0"/>
        <w:spacing w:before="0" w:after="100" w:line="276" w:lineRule="auto"/>
      </w:pPr>
      <w:r>
        <w:t>Se è previsto anche supporto professionale, personalizza l’</w:t>
      </w:r>
      <w:r>
        <w:rPr>
          <w:b/>
        </w:rPr>
        <w:t>accordo capitale + consulenza</w:t>
      </w:r>
      <w:r>
        <w:t>.</w:t>
      </w:r>
    </w:p>
    <w:p>
      <w:pPr>
        <w:pStyle w:val="ListNumber"/>
        <w:keepNext w:val="0"/>
        <w:spacing w:before="0" w:after="100" w:line="276" w:lineRule="auto"/>
      </w:pPr>
      <w:r>
        <w:t xml:space="preserve">Il questionario per il badge è un documento </w:t>
      </w:r>
      <w:r>
        <w:rPr>
          <w:b/>
        </w:rPr>
        <w:t>interno / di piattaforma</w:t>
      </w:r>
      <w:r>
        <w:t>, non un attestato automatico o un audit finanziario.</w:t>
      </w:r>
    </w:p>
    <w:p>
      <w:pPr>
        <w:pStyle w:val="Heading1"/>
      </w:pPr>
      <w:r>
        <w:t>Cosa è incluso</w:t>
      </w:r>
    </w:p>
    <w:p>
      <w:pPr>
        <w:keepNext w:val="0"/>
        <w:spacing w:before="0" w:after="140" w:line="286" w:lineRule="auto"/>
      </w:pPr>
      <w:r>
        <w:t xml:space="preserve">Otto documenti in </w:t>
      </w:r>
      <w:r>
        <w:rPr>
          <w:b/>
        </w:rPr>
        <w:t>PDF</w:t>
      </w:r>
      <w:r>
        <w:t xml:space="preserve"> pronti per lettura o stampa, otto originali </w:t>
      </w:r>
      <w:r>
        <w:rPr>
          <w:b/>
        </w:rPr>
        <w:t>Word modificabili</w:t>
      </w:r>
      <w:r>
        <w:t xml:space="preserve"> e questo indice. Le versioni Word sono utili per aggiungere informazioni, annotazioni e revisione legale; i PDF sono la versione impaginata di distribuzione.</w:t>
      </w:r>
    </w:p>
    <w:p>
      <w:pPr>
        <w:pStyle w:val="Heading1"/>
      </w:pPr>
      <w:r>
        <w:t>Limiti e pubblicazione</w:t>
      </w:r>
    </w:p>
    <w:p>
      <w:pPr>
        <w:pStyle w:val="ListBullet"/>
        <w:keepNext w:val="0"/>
        <w:spacing w:before="0" w:after="100" w:line="276" w:lineRule="auto"/>
      </w:pPr>
      <w:r>
        <w:t>Il kit non autorizza la piattaforma a raccogliere denaro, quote, ordini o svolgere servizi finanziari regolamentati.</w:t>
      </w:r>
    </w:p>
    <w:p>
      <w:pPr>
        <w:pStyle w:val="ListBullet"/>
        <w:keepNext w:val="0"/>
        <w:spacing w:before="0" w:after="100" w:line="276" w:lineRule="auto"/>
      </w:pPr>
      <w:r>
        <w:t>I modelli non sostituiscono notaio, commercialista, avvocato e le procedure societarie.</w:t>
      </w:r>
    </w:p>
    <w:p>
      <w:pPr>
        <w:pStyle w:val="ListBullet"/>
        <w:keepNext w:val="0"/>
        <w:spacing w:before="0" w:after="100" w:line="276" w:lineRule="auto"/>
      </w:pPr>
      <w:r>
        <w:t>Il badge “Investitore verificato” deve riflettere solo verifiche realmente effettuate e correttamente documentate.</w:t>
      </w:r>
    </w:p>
    <w:p>
      <w:pPr>
        <w:pStyle w:val="ListBullet"/>
        <w:keepNext w:val="0"/>
        <w:spacing w:before="0" w:after="100" w:line="276" w:lineRule="auto"/>
      </w:pPr>
      <w:r>
        <w:t>Prima di pubblicare e vendere, verifica eventuali aggiornamenti normativi successivi alla data di edizione.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MICRO-ANGEL  •  SEZIONE 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imprendereora.com/micro-angel" TargetMode="External"/><Relationship Id="rId12" Type="http://schemas.openxmlformats.org/officeDocument/2006/relationships/hyperlink" Target="https://www.consob.it/web/investor-education/la-diversificazione" TargetMode="External"/><Relationship Id="rId13" Type="http://schemas.openxmlformats.org/officeDocument/2006/relationships/hyperlink" Target="https://www.garanteprivacy.it/web/guest/home/principi-fondamentali-del-trattamen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