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GUIDA OPERATIVA</w:t>
      </w:r>
    </w:p>
    <w:p>
      <w:pPr>
        <w:pStyle w:val="Title"/>
      </w:pPr>
      <w:r>
        <w:t>Passaggio generazionale di un brand storico</w:t>
      </w:r>
    </w:p>
    <w:p>
      <w:pPr>
        <w:pStyle w:val="Deck"/>
      </w:pPr>
      <w:r>
        <w:t>Continuità familiare, proprietà, governance e trasmissione di competenze: un percorso pratico per ridurre conflitti e preservare il valore costruito nel tempo.</w:t>
      </w:r>
    </w:p>
    <w:p>
      <w:pPr>
        <w:pStyle w:val="Heading1"/>
      </w:pPr>
      <w:r>
        <w:t>01  Il passaggio non è un unico atto</w:t>
      </w:r>
    </w:p>
    <w:p>
      <w:r>
        <w:t>Tre transizioni devono essere progettate separatamente: proprietà (chi possiede quote e asset), governo (chi decide) e operatività (chi dirige il lavoro). Anticipare un trasferimento di quote senza chiarire questi tre livelli può creare paralisi.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3515"/>
        <w:gridCol w:w="430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Livello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Domanda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Evidenza da produrre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Proprietà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Chi possiede oggi il marchio e le quote?</w:t>
            </w:r>
          </w:p>
        </w:tc>
        <w:tc>
          <w:tcPr>
            <w:tcW w:type="dxa" w:w="430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Visure, statuto, atti, eventuali vincoli.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Governance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Chi ha l’ultima parola su investimenti e nomine?</w:t>
            </w:r>
          </w:p>
        </w:tc>
        <w:tc>
          <w:tcPr>
            <w:tcW w:type="dxa" w:w="430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Deleghe, regole di voto, controlli e conflitti.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Gestione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Chi gestisce clienti, produzione, persone, qualità?</w:t>
            </w:r>
          </w:p>
        </w:tc>
        <w:tc>
          <w:tcPr>
            <w:tcW w:type="dxa" w:w="430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Ruoli, obiettivi, piano di successione competenze.</w:t>
            </w:r>
          </w:p>
        </w:tc>
      </w:tr>
    </w:tbl>
    <w:p>
      <w:pPr>
        <w:pStyle w:val="Heading1"/>
      </w:pPr>
      <w:r>
        <w:t>02  Le sei domande che ogni famiglia deve affrontare</w:t>
      </w:r>
    </w:p>
    <w:p>
      <w:pPr>
        <w:pStyle w:val="ListNumber"/>
      </w:pPr>
      <w:r>
        <w:t>Chi desidera veramente guidare l’impresa, e con quale competenza dimostrabile?</w:t>
      </w:r>
    </w:p>
    <w:p>
      <w:pPr>
        <w:pStyle w:val="ListNumber"/>
      </w:pPr>
      <w:r>
        <w:t>Come si protegge chi non partecipa alla gestione ma ha interessi patrimoniali legittimi?</w:t>
      </w:r>
    </w:p>
    <w:p>
      <w:pPr>
        <w:pStyle w:val="ListNumber"/>
      </w:pPr>
      <w:r>
        <w:t>Quali decisioni restano ai fondatori e per quanto tempo?</w:t>
      </w:r>
    </w:p>
    <w:p>
      <w:pPr>
        <w:pStyle w:val="ListNumber"/>
      </w:pPr>
      <w:r>
        <w:t>Chi custodisce ricette, relazioni clienti, archivi, reputazione e tradizioni produttive?</w:t>
      </w:r>
    </w:p>
    <w:p>
      <w:pPr>
        <w:pStyle w:val="ListNumber"/>
      </w:pPr>
      <w:r>
        <w:t>Cosa accade se il successore cambia idea, fallisce gli obiettivi o lascia?</w:t>
      </w:r>
    </w:p>
    <w:p>
      <w:pPr>
        <w:pStyle w:val="ListNumber"/>
      </w:pPr>
      <w:r>
        <w:t>Come si finanziano crescita, liquidità per gli eredi e pensionamento del fondatore?</w:t>
      </w:r>
    </w:p>
    <w:p>
      <w:pPr>
        <w:pStyle w:val="Heading1"/>
      </w:pPr>
      <w:r>
        <w:t>03  Strumenti da confrontare con i professionisti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3515"/>
        <w:gridCol w:w="3742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Strumento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Quando può essere rilevante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Attenzione</w:t>
            </w:r>
          </w:p>
        </w:tc>
      </w:tr>
      <w:tr>
        <w:trPr>
          <w:cantSplit/>
        </w:trPr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Piano di governance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Serve separare proprietà e controllo operativo.</w:t>
            </w:r>
          </w:p>
        </w:tc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Delega reale, indicatori e gestione conflitti.</w:t>
            </w:r>
          </w:p>
        </w:tc>
      </w:tr>
      <w:tr>
        <w:trPr>
          <w:cantSplit/>
        </w:trPr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Donazione / successione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Trasferimento patrimoniale in famiglia.</w:t>
            </w:r>
          </w:p>
        </w:tc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Legittimari, fiscalità, condizioni e oneri.</w:t>
            </w:r>
          </w:p>
        </w:tc>
      </w:tr>
      <w:tr>
        <w:trPr>
          <w:cantSplit/>
        </w:trPr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Patto di famiglia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Trasferimento azienda/partecipazioni nel quadro previsto dalla legge.</w:t>
            </w:r>
          </w:p>
        </w:tc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Notaio, partecipazione aventi diritto e disciplina specifica.</w:t>
            </w:r>
          </w:p>
        </w:tc>
      </w:tr>
      <w:tr>
        <w:trPr>
          <w:cantSplit/>
        </w:trPr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Vendita graduale / holding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Assetti patrimoniali complessi o liquidità agli eredi.</w:t>
            </w:r>
          </w:p>
        </w:tc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Prezzi, diritti di voto, fiscalità e poteri.</w:t>
            </w:r>
          </w:p>
        </w:tc>
      </w:tr>
      <w:tr>
        <w:trPr>
          <w:cantSplit/>
        </w:trPr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Ingresso manager esterno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Nessun erede pronto o disponibile.</w:t>
            </w:r>
          </w:p>
        </w:tc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Mandato, incentivi, metriche e controllo.</w:t>
            </w:r>
          </w:p>
        </w:tc>
      </w:tr>
    </w:tbl>
    <w:p>
      <w:r>
        <w:t>Per taluni trasferimenti di aziende, rami o partecipazioni a discendenti/coniuge, l’art. 3, comma 4-ter, d.lgs. 346/1990 prevede un regime di esenzione dall’imposta di successione/donazione al ricorrere di precise condizioni, tra cui continuazione dell’attività o detenzione del controllo/diritto secondo il caso per almeno cinque anni. Non è un beneficio automatico: la struttura, gli aventi causa e gli impegni formali devono essere verificati da notaio e fiscalista.</w:t>
      </w:r>
    </w:p>
    <w:p>
      <w:pPr>
        <w:pStyle w:val="Heading1"/>
      </w:pPr>
      <w:r>
        <w:t>04  Roadmap di transizione in 18 mesi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5187"/>
        <w:gridCol w:w="2409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Finestra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Azioni concrete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Indicatore utile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0–3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Inventario asset, mappa famiglia, desideri e regole di dialogo.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Documenti proprietari completi.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4–6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Assessment delle competenze; definire governance e deleghe.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RACI e obiettivi concordati.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7–9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Affiancamento su clienti strategici, qualità e fornitori.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Copertura ruoli critici.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10–12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Prima delega su budget, persone e operazioni.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Risultati e rischi misurati.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13–15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Revisione legale/fiscale degli strumenti di trasferimento.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Bozze e consensi verificati.</w:t>
            </w:r>
          </w:p>
        </w:tc>
      </w:tr>
      <w:tr>
        <w:trPr>
          <w:cantSplit/>
        </w:trPr>
        <w:tc>
          <w:tcPr>
            <w:tcW w:type="dxa" w:w="164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16–18 mesi</w:t>
            </w:r>
          </w:p>
        </w:tc>
        <w:tc>
          <w:tcPr>
            <w:tcW w:type="dxa" w:w="518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Formalizzazione, comunicazioni, piano di continuità.</w:t>
            </w:r>
          </w:p>
        </w:tc>
        <w:tc>
          <w:tcPr>
            <w:tcW w:type="dxa" w:w="240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Governance operativa senza fondatore.</w:t>
            </w:r>
          </w:p>
        </w:tc>
      </w:tr>
    </w:tbl>
    <w:p>
      <w:pPr>
        <w:pStyle w:val="Heading1"/>
      </w:pPr>
      <w:r>
        <w:t>05  Custodire il valore immateriale</w:t>
      </w:r>
    </w:p>
    <w:p>
      <w:pPr>
        <w:pStyle w:val="ListBullet"/>
        <w:ind w:left="255" w:hanging="125"/>
      </w:pPr>
      <w:r>
        <w:t>Archiviare marchi e disegni, rinnovi, contratti di licenza e catena di proprietà.</w:t>
      </w:r>
    </w:p>
    <w:p>
      <w:pPr>
        <w:pStyle w:val="ListBullet"/>
        <w:ind w:left="255" w:hanging="125"/>
      </w:pPr>
      <w:r>
        <w:t>Digitalizzare, con diritti chiari, cataloghi, fotografie, ricette, manuali e testimonianze storiche.</w:t>
      </w:r>
    </w:p>
    <w:p>
      <w:pPr>
        <w:pStyle w:val="ListBullet"/>
        <w:ind w:left="255" w:hanging="125"/>
      </w:pPr>
      <w:r>
        <w:t>Registrare processi produttivi, criteri qualità, contatti critici e “conoscenza tacita”.</w:t>
      </w:r>
    </w:p>
    <w:p>
      <w:pPr>
        <w:pStyle w:val="ListBullet"/>
        <w:ind w:left="255" w:hanging="125"/>
      </w:pPr>
      <w:r>
        <w:t>Prevedere mentoring strutturato: sessioni, output e responsabili, non solo affiancamento informale.</w:t>
      </w:r>
    </w:p>
    <w:p>
      <w:pPr>
        <w:pStyle w:val="ListBullet"/>
        <w:ind w:left="255" w:hanging="125"/>
      </w:pPr>
      <w:r>
        <w:t>Separare il racconto Heritage da informazioni commerciali riservate e da dati personali.</w:t>
      </w:r>
    </w:p>
    <w:p>
      <w:pPr>
        <w:pStyle w:val="Heading1"/>
      </w:pPr>
      <w:r>
        <w:t>06  Carta di allineamento familiare (scheda di lavoro)</w:t>
      </w:r>
    </w:p>
    <w:p>
      <w:pPr>
        <w:spacing w:after="120"/>
      </w:pPr>
      <w:r>
        <w:rPr>
          <w:b/>
          <w:color w:val="142B3E"/>
        </w:rPr>
        <w:t xml:space="preserve">Missione comune in una frase  </w:t>
      </w:r>
      <w:r>
        <w:rPr>
          <w:color w:val="607282"/>
        </w:rPr>
        <w:t>[Che cosa vogliamo conservare?]</w:t>
      </w:r>
    </w:p>
    <w:p>
      <w:pPr>
        <w:spacing w:after="120"/>
      </w:pPr>
      <w:r>
        <w:rPr>
          <w:b/>
          <w:color w:val="142B3E"/>
        </w:rPr>
        <w:t xml:space="preserve">Cosa può cambiare  </w:t>
      </w:r>
      <w:r>
        <w:rPr>
          <w:color w:val="607282"/>
        </w:rPr>
        <w:t>[Canali, prodotti, pricing, persone, mercati]</w:t>
      </w:r>
    </w:p>
    <w:p>
      <w:pPr>
        <w:spacing w:after="120"/>
      </w:pPr>
      <w:r>
        <w:rPr>
          <w:b/>
          <w:color w:val="142B3E"/>
        </w:rPr>
        <w:t xml:space="preserve">Valori non negoziabili  </w:t>
      </w:r>
      <w:r>
        <w:rPr>
          <w:color w:val="607282"/>
        </w:rPr>
        <w:t>[Qualità, responsabilità, relazione con il territorio]</w:t>
      </w:r>
    </w:p>
    <w:p>
      <w:pPr>
        <w:spacing w:after="120"/>
      </w:pPr>
      <w:r>
        <w:rPr>
          <w:b/>
          <w:color w:val="142B3E"/>
        </w:rPr>
        <w:t xml:space="preserve">Decisioni da approvare insieme  </w:t>
      </w:r>
      <w:r>
        <w:rPr>
          <w:color w:val="607282"/>
        </w:rPr>
        <w:t>[Investimenti oltre X, cessione asset, assunzioni chiave]</w:t>
      </w:r>
    </w:p>
    <w:p>
      <w:pPr>
        <w:spacing w:after="120"/>
      </w:pPr>
      <w:r>
        <w:rPr>
          <w:b/>
          <w:color w:val="142B3E"/>
        </w:rPr>
        <w:t xml:space="preserve">Regole di ingresso dei familiari  </w:t>
      </w:r>
      <w:r>
        <w:rPr>
          <w:color w:val="607282"/>
        </w:rPr>
        <w:t>[Esperienza, ruolo vacante, obiettivi, remunerazione]</w:t>
      </w:r>
    </w:p>
    <w:p>
      <w:pPr>
        <w:spacing w:after="120"/>
      </w:pPr>
      <w:r>
        <w:rPr>
          <w:b/>
          <w:color w:val="142B3E"/>
        </w:rPr>
        <w:t xml:space="preserve">Meccanismo per i disaccordi  </w:t>
      </w:r>
      <w:r>
        <w:rPr>
          <w:color w:val="607282"/>
        </w:rPr>
        <w:t>[Riunione, facilitatore, valutazione indipendente]</w:t>
      </w:r>
    </w:p>
    <w:p>
      <w:pPr>
        <w:spacing w:after="120"/>
      </w:pPr>
      <w:r>
        <w:rPr>
          <w:b/>
          <w:color w:val="142B3E"/>
        </w:rPr>
        <w:t xml:space="preserve">Indicatori trimestrali  </w:t>
      </w:r>
      <w:r>
        <w:rPr>
          <w:color w:val="607282"/>
        </w:rPr>
        <w:t>[Margine, cassa, clienti, qualità, passaggio competenze]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Questa “carta” è uno strumento di discussione, non uno statuto, un patto di famiglia o un contratto vincolante. Trasferimenti patrimoniali e accordi parasociali richiedono atti e verifiche autonome.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07  Come riconoscere un rischio di rottura</w:t>
      </w:r>
    </w:p>
    <w:p>
      <w:pPr>
        <w:spacing w:after="80"/>
      </w:pPr>
      <w:r>
        <w:t xml:space="preserve">☐  </w:t>
      </w:r>
      <w:r>
        <w:t>L’erede ha un ruolo formale ma nessuna autorità reale.</w:t>
      </w:r>
    </w:p>
    <w:p>
      <w:pPr>
        <w:spacing w:after="80"/>
      </w:pPr>
      <w:r>
        <w:t xml:space="preserve">☐  </w:t>
      </w:r>
      <w:r>
        <w:t>Il fondatore trattiene password, contratti e relazioni essenziali.</w:t>
      </w:r>
    </w:p>
    <w:p>
      <w:pPr>
        <w:spacing w:after="80"/>
      </w:pPr>
      <w:r>
        <w:t xml:space="preserve">☐  </w:t>
      </w:r>
      <w:r>
        <w:t>Le aspettative di reddito degli eredi non sono sostenibili per la cassa.</w:t>
      </w:r>
    </w:p>
    <w:p>
      <w:pPr>
        <w:spacing w:after="80"/>
      </w:pPr>
      <w:r>
        <w:t xml:space="preserve">☐  </w:t>
      </w:r>
      <w:r>
        <w:t>Nessuno distingue utili, compensi, dividendi e liquidazioni.</w:t>
      </w:r>
    </w:p>
    <w:p>
      <w:pPr>
        <w:spacing w:after="80"/>
      </w:pPr>
      <w:r>
        <w:t xml:space="preserve">☐  </w:t>
      </w:r>
      <w:r>
        <w:t>I lavoratori ricevono comunicazioni contraddittorie.</w:t>
      </w:r>
    </w:p>
    <w:p>
      <w:pPr>
        <w:spacing w:after="80"/>
      </w:pPr>
      <w:r>
        <w:t xml:space="preserve">☐  </w:t>
      </w:r>
      <w:r>
        <w:t>L’uso del nome storico non è supportato da titoli e controlli di qualità.</w:t>
      </w:r>
    </w:p>
    <w:p>
      <w:pPr>
        <w:pStyle w:val="Heading1"/>
      </w:pPr>
      <w:r>
        <w:t>08  Piano d’azione per i prossimi 30 giorni</w:t>
      </w:r>
    </w:p>
    <w:p>
      <w:pPr>
        <w:pStyle w:val="ListBullet"/>
        <w:ind w:left="255" w:hanging="125"/>
      </w:pPr>
      <w:r>
        <w:t>Organizzare un incontro con titolare, potenziali successori e consulenti.</w:t>
      </w:r>
    </w:p>
    <w:p>
      <w:pPr>
        <w:pStyle w:val="ListBullet"/>
        <w:ind w:left="255" w:hanging="125"/>
      </w:pPr>
      <w:r>
        <w:t>Creare una mappa degli asset e verificare i titoli su marchi e partecipazioni.</w:t>
      </w:r>
    </w:p>
    <w:p>
      <w:pPr>
        <w:pStyle w:val="ListBullet"/>
        <w:ind w:left="255" w:hanging="125"/>
      </w:pPr>
      <w:r>
        <w:t>Raccogliere le aspettative individuali per iscritto prima di discuterle insieme.</w:t>
      </w:r>
    </w:p>
    <w:p>
      <w:pPr>
        <w:pStyle w:val="ListBullet"/>
        <w:ind w:left="255" w:hanging="125"/>
      </w:pPr>
      <w:r>
        <w:t>Definire una prima prova di delega e i criteri per valutarla.</w:t>
      </w:r>
    </w:p>
    <w:p>
      <w:pPr>
        <w:pStyle w:val="ListBullet"/>
        <w:ind w:left="255" w:hanging="125"/>
      </w:pPr>
      <w:r>
        <w:t>Fissare una verifica legale e fiscale sugli strumenti e sulle conseguenze successorie.</w:t>
      </w:r>
    </w:p>
    <w:p>
      <w:pPr>
        <w:pStyle w:val="Heading1"/>
      </w:pPr>
      <w:r>
        <w:t>09  Scheda di attuazione: chi fa cosa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2608"/>
        <w:gridCol w:w="2891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Attività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Responsabile attuale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Successore / obiettivo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Controllo del marchio e rinnovi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Relazione con i 10 clienti principali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Qualità e processi produttivi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Budget e reporting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Gestione persone e fornitori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  <w:tr>
        <w:trPr>
          <w:cantSplit/>
        </w:trPr>
        <w:tc>
          <w:tcPr>
            <w:tcW w:type="dxa" w:w="374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Archivi storici e know-how</w:t>
            </w:r>
          </w:p>
        </w:tc>
        <w:tc>
          <w:tcPr>
            <w:tcW w:type="dxa" w:w="260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89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data]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Prima revisione del piano  </w:t>
      </w:r>
      <w:r>
        <w:rPr>
          <w:color w:val="607282"/>
        </w:rPr>
        <w:t>[Data]  •  [Partecipanti]</w:t>
      </w:r>
    </w:p>
    <w:p>
      <w:pPr>
        <w:spacing w:after="120"/>
      </w:pPr>
      <w:r>
        <w:rPr>
          <w:b/>
          <w:color w:val="142B3E"/>
        </w:rPr>
        <w:t xml:space="preserve">Indicatore decisivo di completamento  </w:t>
      </w:r>
      <w:r>
        <w:rPr>
          <w:color w:val="607282"/>
        </w:rPr>
        <w:t>[Es. decisioni autonome con obiettivi soddisfatti]</w:t>
      </w:r>
    </w:p>
    <w:p>
      <w:pPr>
        <w:pStyle w:val="Heading1"/>
      </w:pPr>
      <w:r>
        <w:t>Fonti e riferimenti per la verifica</w:t>
      </w:r>
    </w:p>
    <w:p>
      <w:pPr>
        <w:pStyle w:val="SmallNote"/>
      </w:pPr>
      <w:r>
        <w:t>Verificato al 04.11.2026. Controllare la versione vigente e il caso concreto prima di utilizzare i modelli.</w:t>
      </w:r>
    </w:p>
    <w:p>
      <w:pPr>
        <w:pStyle w:val="SmallNote"/>
        <w:spacing w:after="40"/>
      </w:pPr>
      <w:r>
        <w:t xml:space="preserve">•  </w:t>
      </w:r>
      <w:r>
        <w:t xml:space="preserve">D.lgs. 346/1990, art. 3, comma 4-ter e riforma d.lgs. 139/2024 — </w:t>
      </w:r>
      <w:hyperlink r:id="rId11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>Codice civile, artt. 768-bis e seguenti (patto di famiglia), da verificare su Normattiva</w:t>
      </w:r>
    </w:p>
    <w:p>
      <w:pPr>
        <w:pStyle w:val="SmallNote"/>
        <w:spacing w:after="40"/>
      </w:pPr>
      <w:r>
        <w:t xml:space="preserve">•  </w:t>
      </w:r>
      <w:r>
        <w:t xml:space="preserve">MIMIT / UIBM, protezione dei marchi — </w:t>
      </w:r>
      <w:hyperlink r:id="rId12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MIMIT, tutela dei marchi di particolare interesse e valenza nazionale — </w:t>
      </w:r>
      <w:hyperlink r:id="rId13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2112 (rapporti di lavoro nel trasferimento) — </w:t>
      </w:r>
      <w:hyperlink r:id="rId14">
        <w:r>
          <w:rPr>
            <w:color w:val="142B3E"/>
            <w:u w:val="single"/>
          </w:rPr>
          <w:t>apri fonte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eli/id/2024/10/02/24G00157/CONSOLIDATED/20270101" TargetMode="External"/><Relationship Id="rId12" Type="http://schemas.openxmlformats.org/officeDocument/2006/relationships/hyperlink" Target="https://www.mimit.gov.it/it/impresa/competitivita-e-nuove-imprese/proprieta-industriale/marchi-e-disegni" TargetMode="External"/><Relationship Id="rId13" Type="http://schemas.openxmlformats.org/officeDocument/2006/relationships/hyperlink" Target="https://www.mimit.gov.it/it/impresa/competitivita-e-nuove-imprese/proprieta-industriale/marchi-di-interesse-storico" TargetMode="External"/><Relationship Id="rId14" Type="http://schemas.openxmlformats.org/officeDocument/2006/relationships/hyperlink" Target="https://www.lavoro.gov.it/temi-e-priorita/rapporti-di-lavoro-e-relazioni-industriali/focus-on/disciplina-rapporto-lavoro/pagine/trasferimento-d%27azie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Passaggio generazionale di un brand storico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