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05 / BRAND STORICI   •   GUIDA PRATICA</w:t>
      </w:r>
    </w:p>
    <w:p>
      <w:pPr>
        <w:pStyle w:val="Title"/>
      </w:pPr>
      <w:r>
        <w:t>Cedere o rilanciare un marchio storico</w:t>
      </w:r>
    </w:p>
    <w:p>
      <w:pPr>
        <w:pStyle w:val="Deck"/>
      </w:pPr>
      <w:r>
        <w:t>Una guida per decidere cosa valorizzare, quali diritti trasferire, quali dati preparare e come evitare di confondere prestigio storico con valore economico.</w:t>
      </w:r>
    </w:p>
    <w:p>
      <w:pPr>
        <w:pStyle w:val="Heading1"/>
      </w:pPr>
      <w:r>
        <w:t>01  Prima domanda: cosa si vuole davvero trasferire?</w:t>
      </w:r>
    </w:p>
    <w:p>
      <w:r>
        <w:t>“Vendere il marchio” può significare quattro operazioni molto differenti. Prima di parlare di prezzo occorre definire esattamente cosa entra nel perimetro.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3458"/>
        <w:gridCol w:w="3855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Opzione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Cosa passa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Cosa verificare prima</w:t>
            </w:r>
          </w:p>
        </w:tc>
      </w:tr>
      <w:tr>
        <w:trPr>
          <w:cantSplit/>
        </w:trPr>
        <w:tc>
          <w:tcPr>
            <w:tcW w:type="dxa" w:w="192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Cessione del solo marchio</w:t>
            </w:r>
          </w:p>
        </w:tc>
        <w:tc>
          <w:tcPr>
            <w:tcW w:type="dxa" w:w="345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La titolarità dei segni individuati, secondo i titoli e i territori negoziati.</w:t>
            </w:r>
          </w:p>
        </w:tc>
        <w:tc>
          <w:tcPr>
            <w:tcW w:type="dxa" w:w="385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Catena di titolarità, registrazioni, licenze, pegni, coesistenza, uso e qualità.</w:t>
            </w:r>
          </w:p>
        </w:tc>
      </w:tr>
      <w:tr>
        <w:trPr>
          <w:cantSplit/>
        </w:trPr>
        <w:tc>
          <w:tcPr>
            <w:tcW w:type="dxa" w:w="19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Cessione d’azienda / ramo</w:t>
            </w:r>
          </w:p>
        </w:tc>
        <w:tc>
          <w:tcPr>
            <w:tcW w:type="dxa" w:w="345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Complesso organizzato di beni e rapporti, nel perimetro effettivo.</w:t>
            </w:r>
          </w:p>
        </w:tc>
        <w:tc>
          <w:tcPr>
            <w:tcW w:type="dxa" w:w="38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Lavoratori, contratti, debiti, autorizzazioni, beni, avviamento, atti e formalità.</w:t>
            </w:r>
          </w:p>
        </w:tc>
      </w:tr>
      <w:tr>
        <w:trPr>
          <w:cantSplit/>
        </w:trPr>
        <w:tc>
          <w:tcPr>
            <w:tcW w:type="dxa" w:w="192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Vendita di quote</w:t>
            </w:r>
          </w:p>
        </w:tc>
        <w:tc>
          <w:tcPr>
            <w:tcW w:type="dxa" w:w="3458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Partecipazioni di una società che resta titolare delle attività.</w:t>
            </w:r>
          </w:p>
        </w:tc>
        <w:tc>
          <w:tcPr>
            <w:tcW w:type="dxa" w:w="3855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Debiti e passività della società, governance, garanzie, condizioni statutarie.</w:t>
            </w:r>
          </w:p>
        </w:tc>
      </w:tr>
      <w:tr>
        <w:trPr>
          <w:cantSplit/>
        </w:trPr>
        <w:tc>
          <w:tcPr>
            <w:tcW w:type="dxa" w:w="192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Licenza / partnership</w:t>
            </w:r>
          </w:p>
        </w:tc>
        <w:tc>
          <w:tcPr>
            <w:tcW w:type="dxa" w:w="345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Diritto di usare il marchio entro limiti definiti; la proprietà resta al titolare.</w:t>
            </w:r>
          </w:p>
        </w:tc>
        <w:tc>
          <w:tcPr>
            <w:tcW w:type="dxa" w:w="3855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Durata, territori, categorie, royalties, qualità, controllo e uscita.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F3EDE4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/>
                <w:color w:val="142B3E"/>
                <w:sz w:val="17"/>
              </w:rPr>
              <w:t>ATTENZIONE: l’art. 2556 c.c. regola forma e pubblicità dei trasferimenti d’azienda. Non presume che la vendita di un nome commerciale comporti automaticamente il trasferimento di fabbrica, magazzino, clienti o società.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02  Verifica l’autenticità dell’eredità del brand</w:t>
      </w:r>
    </w:p>
    <w:p>
      <w:pPr>
        <w:pStyle w:val="ListBullet"/>
        <w:ind w:left="255" w:hanging="125"/>
      </w:pPr>
      <w:r>
        <w:t>Storia documentata: anno di nascita, archivio campagne, cataloghi, fatture, fotografie e attestazioni.</w:t>
      </w:r>
    </w:p>
    <w:p>
      <w:pPr>
        <w:pStyle w:val="ListBullet"/>
        <w:ind w:left="255" w:hanging="125"/>
      </w:pPr>
      <w:r>
        <w:t>Titolarità: chi è il titolare formale del marchio, di tutte le varianti grafiche, dei domini e dei contenuti?</w:t>
      </w:r>
    </w:p>
    <w:p>
      <w:pPr>
        <w:pStyle w:val="ListBullet"/>
        <w:ind w:left="255" w:hanging="125"/>
      </w:pPr>
      <w:r>
        <w:t>Portata della protezione: territori, classi, rinnovi, licenze, opposizioni, contenziosi e utilizzo effettivo.</w:t>
      </w:r>
    </w:p>
    <w:p>
      <w:pPr>
        <w:pStyle w:val="ListBullet"/>
        <w:ind w:left="255" w:hanging="125"/>
      </w:pPr>
      <w:r>
        <w:t>Marchio storico “ufficiale”: eventuale iscrizione al Registro speciale, distinta dall’uso commerciale del termine storico.</w:t>
      </w:r>
    </w:p>
    <w:p>
      <w:pPr>
        <w:pStyle w:val="ListBullet"/>
        <w:ind w:left="255" w:hanging="125"/>
      </w:pPr>
      <w:r>
        <w:t>Vincoli e continuità: eventuali regimi specifici per marchi di particolare interesse e valenza nazionale in caso di cessazione della produzione.</w:t>
      </w:r>
    </w:p>
    <w:p>
      <w:r>
        <w:t>Se si prospetta la chiusura definitiva della produzione con un marchio di particolare interesse e valenza nazionale, verifica con un legale l’eventuale procedura MIMIT prevista dall’art. 7 L. 206/2023. Non trattarla come una semplice formalità da gestire a posteriori.</w:t>
      </w:r>
    </w:p>
    <w:p>
      <w:pPr>
        <w:pStyle w:val="Heading1"/>
      </w:pPr>
      <w:r>
        <w:t>03  Costruisci il dossier di vendita in cinque blocchi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6746"/>
      </w:tblGrid>
      <w:tr>
        <w:trPr>
          <w:cantSplit/>
        </w:trPr>
        <w:tc>
          <w:tcPr>
            <w:tcW w:type="dxa" w:w="4734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Blocco</w:t>
            </w:r>
          </w:p>
        </w:tc>
        <w:tc>
          <w:tcPr>
            <w:tcW w:type="dxa" w:w="4734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Documenti di partenza</w:t>
            </w:r>
          </w:p>
        </w:tc>
      </w:tr>
      <w:tr>
        <w:trPr>
          <w:cantSplit/>
        </w:trPr>
        <w:tc>
          <w:tcPr>
            <w:tcW w:type="dxa" w:w="249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 / Marchio e asset immateriali</w:t>
            </w:r>
          </w:p>
        </w:tc>
        <w:tc>
          <w:tcPr>
            <w:tcW w:type="dxa" w:w="6746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Attestati, visure UIBM/EUIPO, copie di concessioni, domini, licenze, archivi creativi, foto autorizzate.</w:t>
            </w:r>
          </w:p>
        </w:tc>
      </w:tr>
      <w:tr>
        <w:trPr>
          <w:cantSplit/>
        </w:trPr>
        <w:tc>
          <w:tcPr>
            <w:tcW w:type="dxa" w:w="249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B / Economica</w:t>
            </w:r>
          </w:p>
        </w:tc>
        <w:tc>
          <w:tcPr>
            <w:tcW w:type="dxa" w:w="674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Bilanci 3 esercizi, conto economico gestionale, posizione finanziaria, clienti per concentrazione, vendite per linea.</w:t>
            </w:r>
          </w:p>
        </w:tc>
      </w:tr>
      <w:tr>
        <w:trPr>
          <w:cantSplit/>
        </w:trPr>
        <w:tc>
          <w:tcPr>
            <w:tcW w:type="dxa" w:w="249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 / Contratti</w:t>
            </w:r>
          </w:p>
        </w:tc>
        <w:tc>
          <w:tcPr>
            <w:tcW w:type="dxa" w:w="6746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Fornitori strategici, distribuzione, agenti, locazioni, esclusività, accordi con licenziatari.</w:t>
            </w:r>
          </w:p>
        </w:tc>
      </w:tr>
      <w:tr>
        <w:trPr>
          <w:cantSplit/>
        </w:trPr>
        <w:tc>
          <w:tcPr>
            <w:tcW w:type="dxa" w:w="2494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 / Persone e operatività</w:t>
            </w:r>
          </w:p>
        </w:tc>
        <w:tc>
          <w:tcPr>
            <w:tcW w:type="dxa" w:w="674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Organigramma, processi, competenze chiave, contratti di lavoro, macchinari, qualità e certificazioni.</w:t>
            </w:r>
          </w:p>
        </w:tc>
      </w:tr>
      <w:tr>
        <w:trPr>
          <w:cantSplit/>
        </w:trPr>
        <w:tc>
          <w:tcPr>
            <w:tcW w:type="dxa" w:w="2494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E / Rischi</w:t>
            </w:r>
          </w:p>
        </w:tc>
        <w:tc>
          <w:tcPr>
            <w:tcW w:type="dxa" w:w="6746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Contenziosi, passività note, debiti scaduti, controversie IP, sicurezza prodotto, cybersecurity e autorizzazioni.</w:t>
            </w:r>
          </w:p>
        </w:tc>
      </w:tr>
    </w:tbl>
    <w:p>
      <w:pPr>
        <w:pStyle w:val="Heading1"/>
      </w:pPr>
      <w:r>
        <w:t>04  Definisci una strategia: cessione o rilancio?</w:t>
      </w:r>
    </w:p>
    <w:p>
      <w:r>
        <w:t>Un brand ha valore quando un soggetto è in grado di utilizzare legalmente gli asset per creare flussi economici futuri. Una storia di successo passata non garantisce domanda attuale.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770"/>
        <w:gridCol w:w="3770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Criterio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Cessione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Rilancio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Capitale richiesto</w:t>
            </w:r>
          </w:p>
        </w:tc>
        <w:tc>
          <w:tcPr>
            <w:tcW w:type="dxa" w:w="377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Spesso inferiore per chi vende; dipende dalla struttura del deal.</w:t>
            </w:r>
          </w:p>
        </w:tc>
        <w:tc>
          <w:tcPr>
            <w:tcW w:type="dxa" w:w="377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Serve budget per prodotto, distribuzione, persone e marketing.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Controllo</w:t>
            </w:r>
          </w:p>
        </w:tc>
        <w:tc>
          <w:tcPr>
            <w:tcW w:type="dxa" w:w="377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Si riduce o si perde, secondo il perimetro.</w:t>
            </w:r>
          </w:p>
        </w:tc>
        <w:tc>
          <w:tcPr>
            <w:tcW w:type="dxa" w:w="377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Può restare, eventualmente condiviso con un partner.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Rischio</w:t>
            </w:r>
          </w:p>
        </w:tc>
        <w:tc>
          <w:tcPr>
            <w:tcW w:type="dxa" w:w="377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Prezzo, garanzie e obblighi post-closing.</w:t>
            </w:r>
          </w:p>
        </w:tc>
        <w:tc>
          <w:tcPr>
            <w:tcW w:type="dxa" w:w="3770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Esecuzione commerciale e tempi di ritorno.</w:t>
            </w:r>
          </w:p>
        </w:tc>
      </w:tr>
      <w:tr>
        <w:trPr>
          <w:cantSplit/>
        </w:trPr>
        <w:tc>
          <w:tcPr>
            <w:tcW w:type="dxa" w:w="1701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Evidenza chiave</w:t>
            </w:r>
          </w:p>
        </w:tc>
        <w:tc>
          <w:tcPr>
            <w:tcW w:type="dxa" w:w="377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Titolarità pulita, redditività, trasferibilità.</w:t>
            </w:r>
          </w:p>
        </w:tc>
        <w:tc>
          <w:tcPr>
            <w:tcW w:type="dxa" w:w="3770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Domanda testata e business plan credibile.</w:t>
            </w:r>
          </w:p>
        </w:tc>
      </w:tr>
    </w:tbl>
    <w:p>
      <w:pPr>
        <w:pStyle w:val="Heading1"/>
      </w:pPr>
      <w:r>
        <w:t>05  Valuta il business senza vendere soltanto nostalgia</w:t>
      </w:r>
    </w:p>
    <w:p>
      <w:r>
        <w:t>Usa più prospettive, senza confondere il valore del marchio con il valore dell’intera azienda:</w:t>
      </w:r>
    </w:p>
    <w:p>
      <w:pPr>
        <w:pStyle w:val="ListBullet"/>
        <w:ind w:left="255" w:hanging="125"/>
      </w:pPr>
      <w:r>
        <w:t>Approccio reddituale: margini normalizzati, cassa futura, investimenti e rischio.</w:t>
      </w:r>
    </w:p>
    <w:p>
      <w:pPr>
        <w:pStyle w:val="ListBullet"/>
        <w:ind w:left="255" w:hanging="125"/>
      </w:pPr>
      <w:r>
        <w:t>Multipli: confronti ragionati con transazioni davvero simili per settore, dimensione e condizioni.</w:t>
      </w:r>
    </w:p>
    <w:p>
      <w:pPr>
        <w:pStyle w:val="ListBullet"/>
        <w:ind w:left="255" w:hanging="125"/>
      </w:pPr>
      <w:r>
        <w:t>Asset immateriale: stima dei benefici economici attribuibili al solo marchio (es. royalty relief), considerando licenze, durata, rischi e fiscalità.</w:t>
      </w:r>
    </w:p>
    <w:p>
      <w:pPr>
        <w:pStyle w:val="ListBullet"/>
        <w:ind w:left="255" w:hanging="125"/>
      </w:pPr>
      <w:r>
        <w:t>Asset tangibili e passività: inventario, immobilizzazioni, debito netto, capitale circolante e passività non operative.</w:t>
      </w:r>
    </w:p>
    <w:p>
      <w:pPr>
        <w:pStyle w:val="ListBullet"/>
        <w:ind w:left="255" w:hanging="125"/>
      </w:pPr>
      <w:r>
        <w:t>Premio Heritage: si giustifica solo con prove di riconoscimento, pricing power, fedeltà, distribuzione e utilità futura.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41"/>
      </w:tblGrid>
      <w:tr>
        <w:tc>
          <w:tcPr>
            <w:tcW w:type="dxa" w:w="9468"/>
            <w:shd w:fill="EAF0ED"/>
            <w:tcMar>
              <w:top w:w="140" w:type="dxa"/>
              <w:start w:w="170" w:type="dxa"/>
              <w:bottom w:w="140" w:type="dxa"/>
              <w:end w:w="170" w:type="dxa"/>
            </w:tcMar>
          </w:tcPr>
          <w:p>
            <w:r/>
            <w:r>
              <w:rPr>
                <w:b w:val="0"/>
                <w:color w:val="142B3E"/>
                <w:sz w:val="17"/>
              </w:rPr>
              <w:t>ESEMPIO INTERAMENTE IPOTETICO — EBITDA normalizzato di €80.000 e multiplo illustrativo 3–5x → valore operativo indicativo €240.000–400.000 PRIMA di rettifiche, cassa/debiti, capitale circolante e verifica. Non è una valutazione del marchio né un intervallo standard di mercato.</w:t>
            </w:r>
          </w:p>
        </w:tc>
      </w:tr>
    </w:tbl>
    <w:p>
      <w:pPr>
        <w:pStyle w:val="SmallNote"/>
      </w:pPr>
      <w:r/>
    </w:p>
    <w:p>
      <w:pPr>
        <w:pStyle w:val="Heading1"/>
      </w:pPr>
      <w:r>
        <w:t>06  Roadmap operativa per i primi 120 giorni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4252"/>
        <w:gridCol w:w="3572"/>
      </w:tblGrid>
      <w:tr>
        <w:trPr>
          <w:cantSplit/>
        </w:trPr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Fase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Azione del titolare</w:t>
            </w:r>
          </w:p>
        </w:tc>
        <w:tc>
          <w:tcPr>
            <w:tcW w:type="dxa" w:w="3156"/>
            <w:tcMar>
              <w:top w:w="110" w:type="dxa"/>
              <w:start w:w="120" w:type="dxa"/>
              <w:bottom w:w="110" w:type="dxa"/>
              <w:end w:w="120" w:type="dxa"/>
            </w:tcMar>
            <w:shd w:fill="142B3E"/>
          </w:tcPr>
          <w:p>
            <w:pPr>
              <w:pStyle w:val="TableBody"/>
              <w:keepNext/>
              <w:keepLines/>
              <w:spacing w:after="0"/>
            </w:pPr>
            <w:r/>
            <w:r>
              <w:rPr>
                <w:b/>
                <w:color w:val="FFFFFF"/>
                <w:sz w:val="16"/>
              </w:rPr>
              <w:t>Risultato atteso</w:t>
            </w:r>
          </w:p>
        </w:tc>
      </w:tr>
      <w:tr>
        <w:trPr>
          <w:cantSplit/>
        </w:trPr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Giorni 1–15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Chiarire vendita/partner/licenza; inventario registrazioni e proprietà.</w:t>
            </w:r>
          </w:p>
        </w:tc>
        <w:tc>
          <w:tcPr>
            <w:tcW w:type="dxa" w:w="357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Perimetro preliminare e lista rischi.</w:t>
            </w:r>
          </w:p>
        </w:tc>
      </w:tr>
      <w:tr>
        <w:trPr>
          <w:cantSplit/>
        </w:trPr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Giorni 16–35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Preparare scheda e prove, ripulire documenti e autorizzazioni.</w:t>
            </w:r>
          </w:p>
        </w:tc>
        <w:tc>
          <w:tcPr>
            <w:tcW w:type="dxa" w:w="357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Dossier minimo credibile e riservato.</w:t>
            </w:r>
          </w:p>
        </w:tc>
      </w:tr>
      <w:tr>
        <w:trPr>
          <w:cantSplit/>
        </w:trPr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Giorni 36–60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Selezionare interlocutori; NDA, call e verifica di interesse.</w:t>
            </w:r>
          </w:p>
        </w:tc>
        <w:tc>
          <w:tcPr>
            <w:tcW w:type="dxa" w:w="357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Short list qualificata.</w:t>
            </w:r>
          </w:p>
        </w:tc>
      </w:tr>
      <w:tr>
        <w:trPr>
          <w:cantSplit/>
        </w:trPr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Giorni 61–90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Raccogliere indicazioni economiche, avviare due diligence mirata.</w:t>
            </w:r>
          </w:p>
        </w:tc>
        <w:tc>
          <w:tcPr>
            <w:tcW w:type="dxa" w:w="3572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Questioni aperte tracciate, senza promesse.</w:t>
            </w:r>
          </w:p>
        </w:tc>
      </w:tr>
      <w:tr>
        <w:trPr>
          <w:cantSplit/>
        </w:trPr>
        <w:tc>
          <w:tcPr>
            <w:tcW w:type="dxa" w:w="1417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Giorni 91–120</w:t>
            </w:r>
          </w:p>
        </w:tc>
        <w:tc>
          <w:tcPr>
            <w:tcW w:type="dxa" w:w="425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Negoziare condizioni e piano di transizione con professionisti.</w:t>
            </w:r>
          </w:p>
        </w:tc>
        <w:tc>
          <w:tcPr>
            <w:tcW w:type="dxa" w:w="3572"/>
            <w:tcMar>
              <w:top w:w="110" w:type="dxa"/>
              <w:start w:w="120" w:type="dxa"/>
              <w:bottom w:w="110" w:type="dxa"/>
              <w:end w:w="120" w:type="dxa"/>
            </w:tcMar>
            <w:shd w:fill="F3F5F4"/>
          </w:tcPr>
          <w:p>
            <w:pPr>
              <w:pStyle w:val="TableBody"/>
              <w:keepLines/>
              <w:spacing w:after="0"/>
            </w:pPr>
            <w:r/>
            <w:r>
              <w:rPr>
                <w:b w:val="0"/>
                <w:color w:val="243343"/>
                <w:sz w:val="16"/>
              </w:rPr>
              <w:t>Accordi definitivi solo dopo verifiche.</w:t>
            </w:r>
          </w:p>
        </w:tc>
      </w:tr>
    </w:tbl>
    <w:p>
      <w:pPr>
        <w:pStyle w:val="Heading1"/>
      </w:pPr>
      <w:r>
        <w:t>07  Il personale e i contratti non sono un dettaglio</w:t>
      </w:r>
    </w:p>
    <w:p>
      <w:r>
        <w:t>Se si trasferisce un’azienda o un ramo, l’art. 2112 c.c. tutela la continuità dei rapporti di lavoro e i diritti dei dipendenti. In operazioni con più di 15 lavoratori complessivamente occupati, può applicarsi la comunicazione sindacale anticipata prevista dall’art. 47 L. 428/1990. Verificare inoltre clausole di cambio controllo, consensi, esclusività, licenze e locazioni.</w:t>
      </w:r>
    </w:p>
    <w:p>
      <w:pPr>
        <w:pStyle w:val="Heading1"/>
      </w:pPr>
      <w:r>
        <w:t>08  Red flag: quando rallentare</w:t>
      </w:r>
    </w:p>
    <w:p>
      <w:pPr>
        <w:spacing w:after="80"/>
      </w:pPr>
      <w:r>
        <w:t xml:space="preserve">☐  </w:t>
      </w:r>
      <w:r>
        <w:t>Il cedente non è in grado di provare la titolarità dei marchi o degli asset digitali.</w:t>
      </w:r>
    </w:p>
    <w:p>
      <w:pPr>
        <w:spacing w:after="80"/>
      </w:pPr>
      <w:r>
        <w:t xml:space="preserve">☐  </w:t>
      </w:r>
      <w:r>
        <w:t>La storia pubblicizzata non è supportata da documenti e uso storico verificabile.</w:t>
      </w:r>
    </w:p>
    <w:p>
      <w:pPr>
        <w:spacing w:after="80"/>
      </w:pPr>
      <w:r>
        <w:t xml:space="preserve">☐  </w:t>
      </w:r>
      <w:r>
        <w:t>Il fatturato è aggregato ma i margini per linea/brand non sono ricostruibili.</w:t>
      </w:r>
    </w:p>
    <w:p>
      <w:pPr>
        <w:spacing w:after="80"/>
      </w:pPr>
      <w:r>
        <w:t xml:space="preserve">☐  </w:t>
      </w:r>
      <w:r>
        <w:t>Esistono debiti, cause, licenze esclusive o pegni non mappati.</w:t>
      </w:r>
    </w:p>
    <w:p>
      <w:pPr>
        <w:spacing w:after="80"/>
      </w:pPr>
      <w:r>
        <w:t xml:space="preserve">☐  </w:t>
      </w:r>
      <w:r>
        <w:t>Si richiede un anticipo senza NDA, verifiche e professionisti.</w:t>
      </w:r>
    </w:p>
    <w:p>
      <w:pPr>
        <w:spacing w:after="80"/>
      </w:pPr>
      <w:r>
        <w:t xml:space="preserve">☐  </w:t>
      </w:r>
      <w:r>
        <w:t>Il piano di rilancio si basa solo su “nostalgia” e non su test di mercato.</w:t>
      </w:r>
    </w:p>
    <w:p>
      <w:pPr>
        <w:spacing w:after="80"/>
      </w:pPr>
      <w:r>
        <w:t xml:space="preserve">☐  </w:t>
      </w:r>
      <w:r>
        <w:t>Nessuno ha affrontato il trasferimento dei lavoratori e del know-how.</w:t>
      </w:r>
    </w:p>
    <w:p>
      <w:pPr>
        <w:pStyle w:val="Heading1"/>
      </w:pPr>
      <w:r>
        <w:t>Mini-caso: “Lanificio Aurora” (marchio immaginario)</w:t>
      </w:r>
    </w:p>
    <w:p>
      <w:r>
        <w:t>Una PMI fittizia ha un nome nato negli anni Sessanta, ma il 70% delle vendite arriva da un solo rivenditore e i diritti sul logo sono rimasti intestati a una società cessata. Prima di attribuire un premio storico, i protagonisti devono chiarire la catena dei titoli, la dipendenza commerciale e la sostenibilità di un rilancio. La scheda Heritage segnala i punti “non verificati”, senza nasconderli.</w:t>
      </w:r>
    </w:p>
    <w:p>
      <w:pPr>
        <w:pStyle w:val="Heading1"/>
      </w:pPr>
      <w:r>
        <w:t>Prossimo passo: checklist prima del primo contatto</w:t>
      </w:r>
    </w:p>
    <w:p>
      <w:pPr>
        <w:spacing w:after="80"/>
      </w:pPr>
      <w:r>
        <w:t xml:space="preserve">☐  </w:t>
      </w:r>
      <w:r>
        <w:t>Ho definito il perimetro effettivo dell’operazione.</w:t>
      </w:r>
    </w:p>
    <w:p>
      <w:pPr>
        <w:spacing w:after="80"/>
      </w:pPr>
      <w:r>
        <w:t xml:space="preserve">☐  </w:t>
      </w:r>
      <w:r>
        <w:t>Ho preparato una scheda senza dati personali e segreti.</w:t>
      </w:r>
    </w:p>
    <w:p>
      <w:pPr>
        <w:spacing w:after="80"/>
      </w:pPr>
      <w:r>
        <w:t xml:space="preserve">☐  </w:t>
      </w:r>
      <w:r>
        <w:t>Posso dimostrare proprietà, storia e continuità di utilizzo.</w:t>
      </w:r>
    </w:p>
    <w:p>
      <w:pPr>
        <w:spacing w:after="80"/>
      </w:pPr>
      <w:r>
        <w:t xml:space="preserve">☐  </w:t>
      </w:r>
      <w:r>
        <w:t>Ho numeri verificabili e distinguo i fatti dalle stime.</w:t>
      </w:r>
    </w:p>
    <w:p>
      <w:pPr>
        <w:spacing w:after="80"/>
      </w:pPr>
      <w:r>
        <w:t xml:space="preserve">☐  </w:t>
      </w:r>
      <w:r>
        <w:t>Ho scelto i professionisti da coinvolgere prima di qualsiasi firma.</w:t>
      </w:r>
    </w:p>
    <w:p>
      <w:pPr>
        <w:pStyle w:val="Heading1"/>
      </w:pPr>
      <w:r>
        <w:t>Fonti e riferimenti per la verifica</w:t>
      </w:r>
    </w:p>
    <w:p>
      <w:pPr>
        <w:pStyle w:val="SmallNote"/>
      </w:pPr>
      <w:r>
        <w:t>Verificato al 04.11.2026. Controllare la versione vigente e il caso concreto prima di utilizzare i modelli.</w:t>
      </w:r>
    </w:p>
    <w:p>
      <w:pPr>
        <w:pStyle w:val="SmallNote"/>
        <w:spacing w:after="40"/>
      </w:pPr>
      <w:r>
        <w:t xml:space="preserve">•  </w:t>
      </w:r>
      <w:r>
        <w:t xml:space="preserve">ImprendereOra, FAQ (Brand Storici e riservatezza) — </w:t>
      </w:r>
      <w:hyperlink r:id="rId11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MIMIT, tutela dei marchi di particolare interesse e valenza nazionale — </w:t>
      </w:r>
      <w:hyperlink r:id="rId12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MIMIT / UIBM, protezione dei marchi — </w:t>
      </w:r>
      <w:hyperlink r:id="rId13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EUIPO, ricerca marchi TMview ed eSearch — </w:t>
      </w:r>
      <w:hyperlink r:id="rId14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Codice civile, art. 2556 (trasferimento d’azienda) — </w:t>
      </w:r>
      <w:hyperlink r:id="rId15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Codice civile, art. 2112 (rapporti di lavoro nel trasferimento) — </w:t>
      </w:r>
      <w:hyperlink r:id="rId16">
        <w:r>
          <w:rPr>
            <w:color w:val="142B3E"/>
            <w:u w:val="single"/>
          </w:rPr>
          <w:t>apri fonte</w:t>
        </w:r>
      </w:hyperlink>
    </w:p>
    <w:p>
      <w:pPr>
        <w:pStyle w:val="SmallNote"/>
        <w:spacing w:after="40"/>
      </w:pPr>
      <w:r>
        <w:t xml:space="preserve">•  </w:t>
      </w:r>
      <w:r>
        <w:t xml:space="preserve">Legge 428/1990, art. 47 (informazione sindacale) — </w:t>
      </w:r>
      <w:hyperlink r:id="rId17">
        <w:r>
          <w:rPr>
            <w:color w:val="142B3E"/>
            <w:u w:val="single"/>
          </w:rPr>
          <w:t>apri fonte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62" w:right="1219" w:bottom="1020" w:left="1219" w:header="539" w:footer="5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Lato" w:hAnsi="Lato"/>
        <w:color w:val="607282"/>
        <w:sz w:val="14"/>
      </w:rPr>
      <w:t xml:space="preserve">imprendereora.com  |  Kit Brand Storici  •  Ed. 04.11.2026  |  Pag.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color="B48E5D"/>
      </w:pBdr>
    </w:pPr>
    <w:r>
      <w:rPr>
        <w:rFonts w:ascii="Lato" w:hAnsi="Lato"/>
        <w:b/>
        <w:color w:val="142B3E"/>
        <w:sz w:val="16"/>
      </w:rPr>
      <w:t>IMPRENDEREORA</w:t>
    </w:r>
    <w:r>
      <w:rPr>
        <w:rFonts w:ascii="Lato" w:hAnsi="Lato"/>
        <w:color w:val="B48E5D"/>
        <w:sz w:val="15"/>
      </w:rPr>
      <w:t xml:space="preserve">     /     HERITAGE  ·  KIT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Lato" w:hAnsi="Lato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Lato" w:hAnsi="Lato"/>
      <w:b/>
      <w:bCs/>
      <w:color w:val="142B3E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160"/>
    </w:pPr>
    <w:rPr>
      <w:rFonts w:ascii="Lato" w:hAnsi="Lato"/>
      <w:b/>
      <w:color w:val="B48E5D"/>
      <w:sz w:val="16"/>
    </w:rPr>
  </w:style>
  <w:style w:type="paragraph" w:customStyle="1" w:styleId="Deck">
    <w:name w:val="Deck"/>
    <w:pPr>
      <w:spacing w:before="0" w:after="260"/>
    </w:pPr>
    <w:rPr>
      <w:rFonts w:ascii="Lato" w:hAnsi="Lato"/>
      <w:b w:val="0"/>
      <w:color w:val="607282"/>
      <w:sz w:val="22"/>
    </w:rPr>
  </w:style>
  <w:style w:type="paragraph" w:customStyle="1" w:styleId="SmallNote">
    <w:name w:val="Small Note"/>
    <w:pPr>
      <w:spacing w:before="80" w:after="120"/>
    </w:pPr>
    <w:rPr>
      <w:rFonts w:ascii="Lato" w:hAnsi="Lato"/>
      <w:b w:val="0"/>
      <w:color w:val="607282"/>
      <w:sz w:val="16"/>
    </w:rPr>
  </w:style>
  <w:style w:type="paragraph" w:customStyle="1" w:styleId="TableBody">
    <w:name w:val="Table Body"/>
    <w:pPr>
      <w:spacing w:before="0" w:after="0"/>
    </w:pPr>
    <w:rPr>
      <w:rFonts w:ascii="Lato" w:hAnsi="Lato"/>
      <w:b w:val="0"/>
      <w:color w:val="243343"/>
      <w:sz w:val="17"/>
    </w:rPr>
  </w:style>
  <w:style w:type="paragraph" w:customStyle="1" w:styleId="SectionLead">
    <w:name w:val="Section Lead"/>
    <w:pPr>
      <w:spacing w:before="140" w:after="80"/>
    </w:pPr>
    <w:rPr>
      <w:rFonts w:ascii="Lato" w:hAnsi="Lato"/>
      <w:b/>
      <w:color w:val="142B3E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imprendereora.com/faq" TargetMode="External"/><Relationship Id="rId12" Type="http://schemas.openxmlformats.org/officeDocument/2006/relationships/hyperlink" Target="https://www.mimit.gov.it/it/impresa/competitivita-e-nuove-imprese/proprieta-industriale/marchi-di-interesse-storico" TargetMode="External"/><Relationship Id="rId13" Type="http://schemas.openxmlformats.org/officeDocument/2006/relationships/hyperlink" Target="https://www.mimit.gov.it/it/impresa/competitivita-e-nuove-imprese/proprieta-industriale/marchi-e-disegni" TargetMode="External"/><Relationship Id="rId14" Type="http://schemas.openxmlformats.org/officeDocument/2006/relationships/hyperlink" Target="https://www.euipo.europa.eu/it/trade-marks/after-applying/where-to-watch" TargetMode="External"/><Relationship Id="rId15" Type="http://schemas.openxmlformats.org/officeDocument/2006/relationships/hyperlink" Target="https://def.finanze.it/DocTribFrontend/getAttoNormativoDetail.do?ACTION=getArticolo&amp;codiceOrdinamento=0000000000025560000000000000000000000000000000000000000000000000000000000000000000000000000000000000000000000000000000000000000000&amp;id=%7B9E93F1BE-06AE-4F24-8E9D-B838F7E0C2E6%7D" TargetMode="External"/><Relationship Id="rId16" Type="http://schemas.openxmlformats.org/officeDocument/2006/relationships/hyperlink" Target="https://www.lavoro.gov.it/temi-e-priorita/rapporti-di-lavoro-e-relazioni-industriali/focus-on/disciplina-rapporto-lavoro/pagine/trasferimento-d%27azienda" TargetMode="External"/><Relationship Id="rId17" Type="http://schemas.openxmlformats.org/officeDocument/2006/relationships/hyperlink" Target="https://www.normattiva.it/atto/caricaDettaglioAtto?atto.articolo.numero=47&amp;atto.articolo.sottoArticolo=1&amp;atto.articolo.tipoArticolo=0&amp;atto.codiceRedazionale=091G0013&amp;atto.dataPubblicazioneGazzetta=1991-01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Cedere o rilanciare un marchio storico</dc:title>
  <dc:subject>Kit Brand Storici — Heritage</dc:subject>
  <dc:creator>ImprendereOra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