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CHECKLIST OPERATIVA</w:t>
      </w:r>
    </w:p>
    <w:p>
      <w:pPr>
        <w:pStyle w:val="Title"/>
      </w:pPr>
      <w:r>
        <w:t>Due diligence: marchio e azienda</w:t>
      </w:r>
    </w:p>
    <w:p>
      <w:pPr>
        <w:pStyle w:val="Deck"/>
      </w:pPr>
      <w:r>
        <w:t>Checklist concreta per verificare il titolo di proprietà, la qualità dei ricavi, i rapporti di lavoro, i contratti trasferibili e le passività nascoste.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Una casella selezionata non equivale a verifica completata. Per ogni punto annotare: stato (V = verificato, P = parziale, N = non disponibile), prova, data e responsabile. I rischi più gravi vanno assegnati a un consulente competente.</w:t>
            </w:r>
          </w:p>
        </w:tc>
      </w:tr>
    </w:tbl>
    <w:p>
      <w:pPr>
        <w:pStyle w:val="SmallNote"/>
      </w:pPr>
      <w:r/>
    </w:p>
    <w:p>
      <w:pPr>
        <w:spacing w:after="120"/>
      </w:pPr>
      <w:r>
        <w:rPr>
          <w:b/>
          <w:color w:val="142B3E"/>
        </w:rPr>
        <w:t xml:space="preserve">Progetto  </w:t>
      </w:r>
      <w:r>
        <w:rPr>
          <w:color w:val="607282"/>
        </w:rPr>
        <w:t>[Nome riservato / codice]</w:t>
      </w:r>
    </w:p>
    <w:p>
      <w:pPr>
        <w:spacing w:after="120"/>
      </w:pPr>
      <w:r>
        <w:rPr>
          <w:b/>
          <w:color w:val="142B3E"/>
        </w:rPr>
        <w:t xml:space="preserve">Oggetto  </w:t>
      </w:r>
      <w:r>
        <w:rPr>
          <w:color w:val="607282"/>
        </w:rPr>
        <w:t>[Marchio / azienda / ramo / quote]</w:t>
      </w:r>
    </w:p>
    <w:p>
      <w:pPr>
        <w:spacing w:after="120"/>
      </w:pPr>
      <w:r>
        <w:rPr>
          <w:b/>
          <w:color w:val="142B3E"/>
        </w:rPr>
        <w:t xml:space="preserve">Data e coordinatore  </w:t>
      </w:r>
      <w:r>
        <w:rPr>
          <w:color w:val="607282"/>
        </w:rPr>
        <w:t>[Data] — [Responsabile]</w:t>
      </w:r>
    </w:p>
    <w:p>
      <w:pPr>
        <w:pStyle w:val="Heading1"/>
      </w:pPr>
      <w:r>
        <w:t>01 / TITOLARITÀ E CATENA DEI DIRITTI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01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Titolare attuale dei marchi e firmatario autorizzato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Estratti registri, visure societarie, poteri.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02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Registrazioni e domande in tutti i territori rilevanti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UIBM/EUIPO/TMview, classi, numeri, scadenze.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03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Catena storica di assegnazioni, conferimenti, eredità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Atti, trascrizioni e documenti di continuità.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04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Licenze, franchising, esclusive, vincoli e garanzie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Contratti, appendici, restrizioni territoriali.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05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Opposizioni, cause, diffide, possibili decadenze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Registro contenzioso, provvedimenti, corrispondenza legale.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06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Uso effettivo, continuità e prove storiche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Cataloghi, fatture, pubblicità, documenti datati.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02 / ASSET DIGITALI E KNOW-HOW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07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Proprietà e controllo di domini, siti e account social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Intestatari, scadenze, deleghe, recupero accessi.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08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Diritti su loghi, fotografie, archivi e packaging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 autori, liberatorie, licenze software.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09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Formule, ricette, brevetti, disegni, segreti commerciali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Inventario asset e misure di segretezza.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10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Dipendenza da persone chiave e trasferimento del know-how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Matrice competenze, piani affiancamento, accordi.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11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Verifica di dati personali, sicurezza e trasferibilità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Registro trattamenti, policy e audit mirato.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03 / SOCIETÀ E STRUTTURA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12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Visura, statuto, organi, poteri e assetto proprietario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Registro Imprese, atti e deleghe.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13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Perimetro esatto: marchio vs azienda vs ramo vs quote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Inventario beni/rapporti incluso-escluso.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14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Vincoli su quote, prelazioni, patti parasociali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Statuto, accordi soci, consensi richiesti.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15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Procedimenti, contenziosi e garanzie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Elenco cause, garanzie, pareri professionali.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16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Autorizzazioni e requisiti per operare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Licenze, certificazioni, requisiti locali.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04 / ECONOMIA E FISCALITÀ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17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Bilanci 3 esercizi e situazioni infrannuali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Bilanci e mastri coerenti, note di rettifica.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18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Ricavi e margini attribuibili al brand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Report per canale/prodotto, riconciliazioni.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19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Cassa, debiti, fidi, covenant e scaduti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Estratti, contratti finanziari, aging debiti.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20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Crediti e recuperabilità, magazzino e obsolescenza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Aging crediti, inventari e svalutazioni.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21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Dichiarazioni, imposte e verifiche in corso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Documenti fiscali, contenziosi tributari.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22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Transazioni infragruppo o con parti correlate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Contratti, fatture e motivazioni economiche.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05 / CONTRATTI E COMMERCIALE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23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Primi clienti: concentrazione, fidelizzazione e reclami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 aggregati, cohort, churn e reclami.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24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Fornitori chiave, sostituibilità e dipendenze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Contratti, lead times, alternative, scorte.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25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Clausole cambio controllo, cessione, subentro o consenso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 annotati da legale.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26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Rete agenti, distributori, licenziatari e royalty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Accordi, territorio, esclusiva e cessazione.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27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Promesse di qualità, garanzie prodotti e resi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Procedure qualità, resi, audit produzione.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06 / PERSONE, SEDI E OPERAZIONI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28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Organico, anzianità, inquadramenti e passività maturate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Riepilogo aggregato, contratti e fondi.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29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Eventuale applicazione art. 2112 c.c.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Analisi lavoristica del perimetro e diritti.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30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Eventuale procedura art. 47 L. 428/1990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Verifica soglia &gt;15 e calendario comunicazioni.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31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Immobili, locazioni, impianti, titoli e sicurezza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Contratti, autorizzazioni, manutenzioni.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32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Standard qualità, certificazioni e conformità prodotto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Audit, richiami, assicurazioni, rapporti autorità.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33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Forniture energia, logistica e continuità produttiva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Dati produzione, interruzioni, piani operativi.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07 / RISCHI E CHIUSURA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025"/>
        <w:gridCol w:w="464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Verifica / 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5"/>
              </w:rPr>
              <w:t>Prova da ottenere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34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Coperture assicurative, sinistri e franchigie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Polizze, esclusioni e storico sinistri.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35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Privacy, cybersecurity e accessi alla data room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Controlli accessi, DPIA se pertinente, policy.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36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Possibili obblighi connessi a marchi di interesse nazionale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Valutazione giuridica del caso e procedimento MIMIT.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37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Condizioni sospensive, autorizzazioni e consensi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Matrice closing / responsabili / scadenze.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38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Prezzo: equity, EV, debt/cash, working capital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Meccanismo scritto e criteri calcolo.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39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Garanzie e indennizzi per passività pregresse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Cap, basket, durata, garanzie e documenti.</w:t>
            </w:r>
          </w:p>
        </w:tc>
      </w:tr>
      <w:tr>
        <w:trPr>
          <w:cantSplit/>
        </w:trPr>
        <w:tc>
          <w:tcPr>
            <w:tcW w:type="dxa" w:w="56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40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Piano di transizione e conservazione heritage</w:t>
            </w:r>
          </w:p>
        </w:tc>
        <w:tc>
          <w:tcPr>
            <w:tcW w:type="dxa" w:w="464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5"/>
              </w:rPr>
              <w:t>Affiancamento, ruoli, archivi e milestone.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Stato gruppo  </w:t>
      </w:r>
      <w:r>
        <w:rPr>
          <w:color w:val="607282"/>
        </w:rPr>
        <w:t>[V / P / N]   •   Responsabile: [ ]   •   Note: [ ]</w:t>
      </w:r>
    </w:p>
    <w:p>
      <w:pPr>
        <w:pStyle w:val="Heading1"/>
      </w:pPr>
      <w:r>
        <w:t>Registro delle criticità e azioni correttive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3628"/>
        <w:gridCol w:w="1701"/>
        <w:gridCol w:w="3061"/>
      </w:tblGrid>
      <w:tr>
        <w:trPr>
          <w:cantSplit/>
        </w:trPr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Codice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Rischio / prova mancante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Priorità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Azione e owner</w:t>
            </w:r>
          </w:p>
        </w:tc>
      </w:tr>
      <w:tr>
        <w:trPr>
          <w:cantSplit/>
        </w:trPr>
        <w:tc>
          <w:tcPr>
            <w:tcW w:type="dxa" w:w="85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[Descrizione]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[Alta/Media/Bassa]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[Responsabile e scadenza]</w:t>
            </w:r>
          </w:p>
        </w:tc>
      </w:tr>
      <w:tr>
        <w:trPr>
          <w:cantSplit/>
        </w:trPr>
        <w:tc>
          <w:tcPr>
            <w:tcW w:type="dxa" w:w="8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[Descrizione]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[Alta/Media/Bassa]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[Responsabile e scadenza]</w:t>
            </w:r>
          </w:p>
        </w:tc>
      </w:tr>
      <w:tr>
        <w:trPr>
          <w:cantSplit/>
        </w:trPr>
        <w:tc>
          <w:tcPr>
            <w:tcW w:type="dxa" w:w="85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[Descrizione]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[Alta/Media/Bassa]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[Responsabile e scadenza]</w:t>
            </w:r>
          </w:p>
        </w:tc>
      </w:tr>
      <w:tr>
        <w:trPr>
          <w:cantSplit/>
        </w:trPr>
        <w:tc>
          <w:tcPr>
            <w:tcW w:type="dxa" w:w="85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[Descrizione]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[Alta/Media/Bassa]</w:t>
            </w:r>
          </w:p>
        </w:tc>
        <w:tc>
          <w:tcPr>
            <w:tcW w:type="dxa" w:w="306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[Responsabile e scadenza]</w:t>
            </w:r>
          </w:p>
        </w:tc>
      </w:tr>
    </w:tbl>
    <w:p>
      <w:pPr>
        <w:pStyle w:val="Heading1"/>
      </w:pPr>
      <w:r>
        <w:t>Cinque stop signal da non ignorare</w:t>
      </w:r>
    </w:p>
    <w:p>
      <w:pPr>
        <w:spacing w:after="80"/>
      </w:pPr>
      <w:r>
        <w:t xml:space="preserve">☐  </w:t>
      </w:r>
      <w:r>
        <w:t>Catena titolarità marchio incompleta o titolare non autorizzato a disporne.</w:t>
      </w:r>
    </w:p>
    <w:p>
      <w:pPr>
        <w:spacing w:after="80"/>
      </w:pPr>
      <w:r>
        <w:t xml:space="preserve">☐  </w:t>
      </w:r>
      <w:r>
        <w:t>Contenzioso IP o licenza esclusiva incompatibile con l’operazione.</w:t>
      </w:r>
    </w:p>
    <w:p>
      <w:pPr>
        <w:spacing w:after="80"/>
      </w:pPr>
      <w:r>
        <w:t xml:space="preserve">☐  </w:t>
      </w:r>
      <w:r>
        <w:t>Bilanci e report gestionali inconciliabili senza spiegazione documentata.</w:t>
      </w:r>
    </w:p>
    <w:p>
      <w:pPr>
        <w:spacing w:after="80"/>
      </w:pPr>
      <w:r>
        <w:t xml:space="preserve">☐  </w:t>
      </w:r>
      <w:r>
        <w:t>Obblighi verso dipendenti e procedure sindacali non valutati.</w:t>
      </w:r>
    </w:p>
    <w:p>
      <w:pPr>
        <w:spacing w:after="80"/>
      </w:pPr>
      <w:r>
        <w:t xml:space="preserve">☐  </w:t>
      </w:r>
      <w:r>
        <w:t>Prezzo definito senza mappare passività, consensi e perimetro.</w:t>
      </w:r>
    </w:p>
    <w:p>
      <w:pPr>
        <w:pStyle w:val="Heading1"/>
      </w:pPr>
      <w:r>
        <w:t>Esito preliminare (non è un parere professionale)</w:t>
      </w:r>
    </w:p>
    <w:p>
      <w:pPr>
        <w:spacing w:after="120"/>
      </w:pPr>
      <w:r>
        <w:rPr>
          <w:b/>
          <w:color w:val="142B3E"/>
        </w:rPr>
        <w:t xml:space="preserve">Stato  </w:t>
      </w:r>
      <w:r>
        <w:rPr>
          <w:color w:val="607282"/>
        </w:rPr>
        <w:t>[Proseguire / Proseguire con condizioni / Sospendere]</w:t>
      </w:r>
    </w:p>
    <w:p>
      <w:pPr>
        <w:spacing w:after="120"/>
      </w:pPr>
      <w:r>
        <w:rPr>
          <w:b/>
          <w:color w:val="142B3E"/>
        </w:rPr>
        <w:t xml:space="preserve">Condizioni minime da risolvere  </w:t>
      </w:r>
      <w:r>
        <w:rPr>
          <w:color w:val="607282"/>
        </w:rPr>
        <w:t>[Elencare]</w:t>
      </w:r>
    </w:p>
    <w:p>
      <w:pPr>
        <w:spacing w:after="120"/>
      </w:pPr>
      <w:r>
        <w:rPr>
          <w:b/>
          <w:color w:val="142B3E"/>
        </w:rPr>
        <w:t xml:space="preserve">Professionisti coinvolti  </w:t>
      </w:r>
      <w:r>
        <w:rPr>
          <w:color w:val="607282"/>
        </w:rPr>
        <w:t>[Legale IP / Corporate / Lavoro / Commercialista / Tecnico]</w:t>
      </w:r>
    </w:p>
    <w:p>
      <w:pPr>
        <w:pStyle w:val="Heading1"/>
      </w:pPr>
      <w:r>
        <w:t>Fonti e riferimenti per la verifica</w:t>
      </w:r>
    </w:p>
    <w:p>
      <w:pPr>
        <w:pStyle w:val="SmallNote"/>
      </w:pPr>
      <w:r>
        <w:t>Verificato al 04.11.2026. Controllare la versione vigente e il caso concreto prima di utilizzare i modelli.</w:t>
      </w:r>
    </w:p>
    <w:p>
      <w:pPr>
        <w:pStyle w:val="SmallNote"/>
        <w:spacing w:after="40"/>
      </w:pPr>
      <w:r>
        <w:t xml:space="preserve">•  </w:t>
      </w:r>
      <w:r>
        <w:t xml:space="preserve">MIMIT / UIBM, protezione dei marchi — </w:t>
      </w:r>
      <w:hyperlink r:id="rId11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EUIPO, ricerca marchi TMview ed eSearch — </w:t>
      </w:r>
      <w:hyperlink r:id="rId12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D.lgs. 30/2005, Codice della proprietà industriale — </w:t>
      </w:r>
      <w:hyperlink r:id="rId13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2556 (trasferimento d’azienda) — </w:t>
      </w:r>
      <w:hyperlink r:id="rId14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2112 (rapporti di lavoro nel trasferimento) — </w:t>
      </w:r>
      <w:hyperlink r:id="rId15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Legge 428/1990, art. 47 (informazione sindacale) — </w:t>
      </w:r>
      <w:hyperlink r:id="rId16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MIMIT, tutela dei marchi di particolare interesse e valenza nazionale — </w:t>
      </w:r>
      <w:hyperlink r:id="rId17">
        <w:r>
          <w:rPr>
            <w:color w:val="142B3E"/>
            <w:u w:val="single"/>
          </w:rPr>
          <w:t>apri fonte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imit.gov.it/it/impresa/competitivita-e-nuove-imprese/proprieta-industriale/marchi-e-disegni" TargetMode="External"/><Relationship Id="rId12" Type="http://schemas.openxmlformats.org/officeDocument/2006/relationships/hyperlink" Target="https://www.euipo.europa.eu/it/trade-marks/after-applying/where-to-watch" TargetMode="External"/><Relationship Id="rId13" Type="http://schemas.openxmlformats.org/officeDocument/2006/relationships/hyperlink" Target="https://www.normattiva.it/atto/caricaDettaglioAtto?atto.codiceRedazionale=005G0055&amp;atto.dataPubblicazioneGazzetta=2005-03-04&amp;tipoDettaglio=vigente" TargetMode="External"/><Relationship Id="rId14" Type="http://schemas.openxmlformats.org/officeDocument/2006/relationships/hyperlink" Target="https://def.finanze.it/DocTribFrontend/getAttoNormativoDetail.do?ACTION=getArticolo&amp;codiceOrdinamento=0000000000025560000000000000000000000000000000000000000000000000000000000000000000000000000000000000000000000000000000000000000000&amp;id=%7B9E93F1BE-06AE-4F24-8E9D-B838F7E0C2E6%7D" TargetMode="External"/><Relationship Id="rId15" Type="http://schemas.openxmlformats.org/officeDocument/2006/relationships/hyperlink" Target="https://www.lavoro.gov.it/temi-e-priorita/rapporti-di-lavoro-e-relazioni-industriali/focus-on/disciplina-rapporto-lavoro/pagine/trasferimento-d%27azienda" TargetMode="External"/><Relationship Id="rId16" Type="http://schemas.openxmlformats.org/officeDocument/2006/relationships/hyperlink" Target="https://www.normattiva.it/atto/caricaDettaglioAtto?atto.articolo.numero=47&amp;atto.articolo.sottoArticolo=1&amp;atto.articolo.tipoArticolo=0&amp;atto.codiceRedazionale=091G0013&amp;atto.dataPubblicazioneGazzetta=1991-01-12" TargetMode="External"/><Relationship Id="rId17" Type="http://schemas.openxmlformats.org/officeDocument/2006/relationships/hyperlink" Target="https://www.mimit.gov.it/it/impresa/competitivita-e-nuove-imprese/proprieta-industriale/marchi-di-interesse-stori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 diligence: marchio e azienda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