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00 / INIZIA QUI</w:t>
      </w:r>
    </w:p>
    <w:p>
      <w:pPr>
        <w:pStyle w:val="Title"/>
        <w:keepNext w:val="0"/>
        <w:spacing w:before="0" w:after="100" w:line="259" w:lineRule="auto"/>
      </w:pPr>
      <w:r>
        <w:t>Kit Matching Socio–Socio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Sei materiali per scegliere, testare e formalizzare una collaborazione tra cofounder e soci operativi.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Percorso consigliato:</w:t>
            </w:r>
            <w:r>
              <w:t xml:space="preserve"> prima valutare persone e compatibilità; poi testare la collaborazione; infine negoziare ruoli, quote e regole di uscita con professionisti.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5789"/>
        <w:gridCol w:w="1339"/>
      </w:tblGrid>
      <w:tr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FILE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PER COSA SERVE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FORMATO</w:t>
            </w:r>
          </w:p>
        </w:tc>
      </w:tr>
      <w:t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01 • Guida socio operativo</w:t>
            </w:r>
          </w:p>
        </w:tc>
        <w:tc>
          <w:tcPr>
            <w:tcW w:type="dxa" w:w="578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Valori, integrità, prove comportamentali, scelta di lungo periodo</w:t>
            </w:r>
          </w:p>
        </w:tc>
        <w:tc>
          <w:tcPr>
            <w:tcW w:type="dxa" w:w="133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PDF + DOCX</w:t>
            </w:r>
          </w:p>
        </w:tc>
      </w:tr>
      <w:t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02 • Patto fondatori</w:t>
            </w:r>
          </w:p>
        </w:tc>
        <w:tc>
          <w:tcPr>
            <w:tcW w:type="dxa" w:w="578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Obiettivi, conferimenti, ruoli, governance, deadlock, uscita</w:t>
            </w:r>
          </w:p>
        </w:tc>
        <w:tc>
          <w:tcPr>
            <w:tcW w:type="dxa" w:w="133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PDF + DOCX</w:t>
            </w:r>
          </w:p>
        </w:tc>
      </w:tr>
      <w:t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03 • Vesting e leaver</w:t>
            </w:r>
          </w:p>
        </w:tc>
        <w:tc>
          <w:tcPr>
            <w:tcW w:type="dxa" w:w="578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Maturazione, cliff, good/bad leaver, calcolo quote e atti</w:t>
            </w:r>
          </w:p>
        </w:tc>
        <w:tc>
          <w:tcPr>
            <w:tcW w:type="dxa" w:w="133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PDF + DOCX</w:t>
            </w:r>
          </w:p>
        </w:tc>
      </w:tr>
      <w:t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04 • Joint venture</w:t>
            </w:r>
          </w:p>
        </w:tc>
        <w:tc>
          <w:tcPr>
            <w:tcW w:type="dxa" w:w="578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Partnership su progetto senza creare automaticamente una società</w:t>
            </w:r>
          </w:p>
        </w:tc>
        <w:tc>
          <w:tcPr>
            <w:tcW w:type="dxa" w:w="133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PDF + DOCX</w:t>
            </w:r>
          </w:p>
        </w:tc>
      </w:tr>
      <w:t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05 • Questionario compatibilità</w:t>
            </w:r>
          </w:p>
        </w:tc>
        <w:tc>
          <w:tcPr>
            <w:tcW w:type="dxa" w:w="578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Valori, tempo, rischio, retribuzione, conflitti, piano di prova</w:t>
            </w:r>
          </w:p>
        </w:tc>
        <w:tc>
          <w:tcPr>
            <w:tcW w:type="dxa" w:w="133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PDF + DOCX</w:t>
            </w:r>
          </w:p>
        </w:tc>
      </w:tr>
      <w:tr>
        <w:tc>
          <w:tcPr>
            <w:tcW w:type="dxa" w:w="22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06 • Lettera di intenti</w:t>
            </w:r>
          </w:p>
        </w:tc>
        <w:tc>
          <w:tcPr>
            <w:tcW w:type="dxa" w:w="578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Accordo preliminare di lavoro con confini delle clausole vincolanti</w:t>
            </w:r>
          </w:p>
        </w:tc>
        <w:tc>
          <w:tcPr>
            <w:tcW w:type="dxa" w:w="1339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PDF + DOCX</w:t>
            </w:r>
          </w:p>
        </w:tc>
      </w:tr>
    </w:tbl>
    <w:p>
      <w:pPr>
        <w:spacing w:after="0"/>
      </w:pPr>
    </w:p>
    <w:p>
      <w:pPr>
        <w:pStyle w:val="Heading1"/>
      </w:pPr>
      <w:r>
        <w:t>Come usare i modelli</w:t>
      </w:r>
    </w:p>
    <w:p>
      <w:pPr>
        <w:pStyle w:val="ListBullet"/>
        <w:keepNext w:val="0"/>
        <w:spacing w:before="0" w:after="100" w:line="276" w:lineRule="auto"/>
      </w:pPr>
      <w:r>
        <w:t xml:space="preserve">Compila i campi </w:t>
      </w:r>
      <w:r>
        <w:rPr>
          <w:b/>
        </w:rPr>
        <w:t>[tra parentesi]</w:t>
      </w:r>
      <w:r>
        <w:t xml:space="preserve"> e rimuovi tutte le alternative non selezionate.</w:t>
      </w:r>
    </w:p>
    <w:p>
      <w:pPr>
        <w:pStyle w:val="ListBullet"/>
        <w:keepNext w:val="0"/>
        <w:spacing w:before="0" w:after="100" w:line="276" w:lineRule="auto"/>
      </w:pPr>
      <w:r>
        <w:t>Documenta fatti verificabili: risultati, disponibilità settimanale, capitale effettivamente apportato e proprietà intellettuale.</w:t>
      </w:r>
    </w:p>
    <w:p>
      <w:pPr>
        <w:pStyle w:val="ListBullet"/>
        <w:keepNext w:val="0"/>
        <w:spacing w:before="0" w:after="100" w:line="276" w:lineRule="auto"/>
      </w:pPr>
      <w:r>
        <w:t>Non attribuire quote societarie con una semplice promessa o una bozza di accordo; prima chiarisci la struttura e gli atti necessari.</w:t>
      </w:r>
    </w:p>
    <w:p>
      <w:pPr>
        <w:pStyle w:val="ListBullet"/>
        <w:keepNext w:val="0"/>
        <w:spacing w:before="0" w:after="100" w:line="276" w:lineRule="auto"/>
      </w:pPr>
      <w:r>
        <w:t>Se una relazione si interrompe durante la prova, registra decisioni, accessi, dati condivisi e restituzione dei materiali.</w:t>
      </w:r>
    </w:p>
    <w:p>
      <w:pPr>
        <w:pStyle w:val="ListBullet"/>
        <w:keepNext w:val="0"/>
        <w:spacing w:before="0" w:after="100" w:line="276" w:lineRule="auto"/>
      </w:pPr>
      <w:r>
        <w:t>Prima di firmare patti, vesting o JV, richiedi revisione legale e fiscale e valuta l’eventuale intervento del notaio.</w:t>
      </w:r>
    </w:p>
    <w:p>
      <w:pPr>
        <w:pStyle w:val="Heading1"/>
      </w:pPr>
      <w:r>
        <w:t>Regole pratiche per proteggere entrambe le persone</w:t>
      </w:r>
    </w:p>
    <w:p>
      <w:pPr>
        <w:pStyle w:val="ListBullet"/>
        <w:keepNext w:val="0"/>
        <w:spacing w:before="0" w:after="100" w:line="276" w:lineRule="auto"/>
      </w:pPr>
      <w:r>
        <w:t xml:space="preserve">Separare chi </w:t>
      </w:r>
      <w:r>
        <w:rPr>
          <w:b/>
        </w:rPr>
        <w:t>possiede</w:t>
      </w:r>
      <w:r>
        <w:t xml:space="preserve"> quote da chi </w:t>
      </w:r>
      <w:r>
        <w:rPr>
          <w:b/>
        </w:rPr>
        <w:t>lavora</w:t>
      </w:r>
      <w:r>
        <w:t xml:space="preserve"> e da chi </w:t>
      </w:r>
      <w:r>
        <w:rPr>
          <w:b/>
        </w:rPr>
        <w:t>amministra</w:t>
      </w:r>
      <w:r>
        <w:t>: tre ruoli diversi.</w:t>
      </w:r>
    </w:p>
    <w:p>
      <w:pPr>
        <w:pStyle w:val="ListBullet"/>
        <w:keepNext w:val="0"/>
        <w:spacing w:before="0" w:after="100" w:line="276" w:lineRule="auto"/>
      </w:pPr>
      <w:r>
        <w:t>Preferire responsabilità misurabili a etichette generiche come “marketing” o “CEO”.</w:t>
      </w:r>
    </w:p>
    <w:p>
      <w:pPr>
        <w:pStyle w:val="ListBullet"/>
        <w:keepNext w:val="0"/>
        <w:spacing w:before="0" w:after="100" w:line="276" w:lineRule="auto"/>
      </w:pPr>
      <w:r>
        <w:t>Non scambiare mai disponibilità personale e integrità con un semplice punteggio automatico.</w:t>
      </w:r>
    </w:p>
    <w:p>
      <w:pPr>
        <w:pStyle w:val="ListBullet"/>
        <w:keepNext w:val="0"/>
        <w:spacing w:before="0" w:after="100" w:line="276" w:lineRule="auto"/>
      </w:pPr>
      <w:r>
        <w:t>Annotare data, versione e responsabile di ciascun accordo; non utilizzare informazioni personali superflue.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t>Strumento educativo e operativo: non costituisce consulenza legale, fiscale o finanziaria. Le decisioni di partnership richiedono verifiche indipendenti e un confronto con professionisti qualificati.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MATCHING SOCIO–SOCIO  •  SEZIONE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atto/caricaDettaglioAtto?atto.codiceRedazionale=042U0262&amp;atto.dataPubblicazioneGazzetta=1942-04-04&amp;tipoDettaglio=vigente" TargetMode="External"/><Relationship Id="rId12" Type="http://schemas.openxmlformats.org/officeDocument/2006/relationships/hyperlink" Target="https://www.ba.camcom.it/images/stories/pdf/circolari/modulo_s6.pdf" TargetMode="External"/><Relationship Id="rId13" Type="http://schemas.openxmlformats.org/officeDocument/2006/relationships/hyperlink" Target="https://garanteprivacy.it/web/guest/home/principi-fondamentali-del-trattamen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