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rFonts w:ascii="Aptos" w:hAnsi="Aptos"/>
          <w:b/>
          <w:color w:val="267F82"/>
          <w:sz w:val="15"/>
        </w:rPr>
        <w:t>KIT CLIENTE / LEGGIMI</w:t>
      </w:r>
    </w:p>
    <w:p>
      <w:pPr>
        <w:pStyle w:val="Title"/>
      </w:pPr>
      <w:r>
        <w:t>Indice e istruzioni</w:t>
      </w:r>
    </w:p>
    <w:p>
      <w:pPr>
        <w:spacing w:after="260"/>
      </w:pPr>
      <w:r>
        <w:rPr>
          <w:rFonts w:ascii="Aptos" w:hAnsi="Aptos"/>
          <w:b w:val="0"/>
          <w:color w:val="596674"/>
          <w:sz w:val="20"/>
        </w:rPr>
        <w:t>Tre strumenti per passare dal primo messaggio a una trattativa ordinata.</w:t>
      </w:r>
    </w:p>
    <w:p>
      <w:pPr>
        <w:widowControl/>
      </w:pPr>
      <w:r>
        <w:t>Questo pacchetto contiene i documenti della Sezione 6 di ImprendereOra. È pensato per founder, investitori privati e persone interessate a diventare soci operativi.</w:t>
      </w:r>
    </w:p>
    <w:p>
      <w:pPr>
        <w:pStyle w:val="Heading1"/>
      </w:pPr>
      <w:r>
        <w:t>Contenuto del kit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7"/>
        <w:gridCol w:w="3458"/>
        <w:gridCol w:w="5386"/>
      </w:tblGrid>
      <w:tr>
        <w:trPr>
          <w:tblHeader w:val="true"/>
          <w:cantSplit/>
        </w:trPr>
        <w:tc>
          <w:tcPr>
            <w:tcW w:type="dxa" w:w="3137"/>
            <w:shd w:fill="18364A"/>
            <w:tcMar>
              <w:top w:w="100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N.</w:t>
            </w:r>
          </w:p>
        </w:tc>
        <w:tc>
          <w:tcPr>
            <w:tcW w:type="dxa" w:w="3137"/>
            <w:shd w:fill="18364A"/>
            <w:tcMar>
              <w:top w:w="100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Materiale</w:t>
            </w:r>
          </w:p>
        </w:tc>
        <w:tc>
          <w:tcPr>
            <w:tcW w:type="dxa" w:w="3137"/>
            <w:shd w:fill="18364A"/>
            <w:tcMar>
              <w:top w:w="100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Quando usarlo</w:t>
            </w:r>
          </w:p>
        </w:tc>
      </w:tr>
      <w:tr>
        <w:trPr>
          <w:cantSplit/>
        </w:trPr>
        <w:tc>
          <w:tcPr>
            <w:tcW w:type="dxa" w:w="567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01</w:t>
            </w:r>
          </w:p>
        </w:tc>
        <w:tc>
          <w:tcPr>
            <w:tcW w:type="dxa" w:w="3458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Modelli per il primo contatto</w:t>
            </w:r>
          </w:p>
        </w:tc>
        <w:tc>
          <w:tcPr>
            <w:tcW w:type="dxa" w:w="5386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Per avviare conversazioni pertinenti, proporre un incontro e gestire risposte e follow-up.</w:t>
            </w:r>
          </w:p>
        </w:tc>
      </w:tr>
      <w:tr>
        <w:trPr>
          <w:cantSplit/>
        </w:trPr>
        <w:tc>
          <w:tcPr>
            <w:tcW w:type="dxa" w:w="567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02</w:t>
            </w:r>
          </w:p>
        </w:tc>
        <w:tc>
          <w:tcPr>
            <w:tcW w:type="dxa" w:w="3458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Guida pratica alla trattativa</w:t>
            </w:r>
          </w:p>
        </w:tc>
        <w:tc>
          <w:tcPr>
            <w:tcW w:type="dxa" w:w="5386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Per negoziare in modo ordinato, verificare affermazioni, distinguere dati e promesse.</w:t>
            </w:r>
          </w:p>
        </w:tc>
      </w:tr>
      <w:tr>
        <w:trPr>
          <w:cantSplit/>
        </w:trPr>
        <w:tc>
          <w:tcPr>
            <w:tcW w:type="dxa" w:w="567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03</w:t>
            </w:r>
          </w:p>
        </w:tc>
        <w:tc>
          <w:tcPr>
            <w:tcW w:type="dxa" w:w="3458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Riepilogo dopo un incontro</w:t>
            </w:r>
          </w:p>
        </w:tc>
        <w:tc>
          <w:tcPr>
            <w:tcW w:type="dxa" w:w="5386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Per registrare punti condivisi, questioni aperte, documenti e responsabilità senza creare accordi involontari.</w:t>
            </w:r>
          </w:p>
        </w:tc>
      </w:tr>
    </w:tbl>
    <w:p>
      <w:pPr>
        <w:spacing w:after="0"/>
      </w:pPr>
    </w:p>
    <w:p>
      <w:pPr>
        <w:pStyle w:val="Heading1"/>
      </w:pPr>
      <w:r>
        <w:t>Procedura consigliata</w:t>
      </w:r>
    </w:p>
    <w:p>
      <w:pPr>
        <w:pStyle w:val="ListNumber"/>
        <w:spacing w:after="60"/>
      </w:pPr>
      <w:r>
        <w:t>Scegli il modello coerente con il tuo ruolo e modifica le parti tra parentesi quadre.</w:t>
      </w:r>
    </w:p>
    <w:p>
      <w:pPr>
        <w:pStyle w:val="ListNumber"/>
        <w:spacing w:after="60"/>
      </w:pPr>
      <w:r>
        <w:t>Invia il primo messaggio tramite la messaggistica interna di ImprendereOra.</w:t>
      </w:r>
    </w:p>
    <w:p>
      <w:pPr>
        <w:pStyle w:val="ListNumber"/>
        <w:spacing w:after="60"/>
      </w:pPr>
      <w:r>
        <w:t>Se emerge un interesse concreto, prepara e conduci l’incontro usando la guida alla trattativa.</w:t>
      </w:r>
    </w:p>
    <w:p>
      <w:pPr>
        <w:pStyle w:val="ListNumber"/>
        <w:spacing w:after="60"/>
      </w:pPr>
      <w:r>
        <w:t>Entro 24 ore lavorative, completa il riepilogo e condividi solo i punti che desideri confermare.</w:t>
      </w:r>
    </w:p>
    <w:p>
      <w:pPr>
        <w:pStyle w:val="ListNumber"/>
        <w:spacing w:after="60"/>
      </w:pPr>
      <w:r>
        <w:t>Prima di condividere dati riservati o firmare accordi, esegui le verifiche pertinenti e coinvolgi i professionisti necessari.</w:t>
      </w:r>
    </w:p>
    <w:p>
      <w:pPr>
        <w:pStyle w:val="Heading1"/>
      </w:pPr>
      <w:r>
        <w:t>Regole di sicurezza sulla piattaforma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fill="F8FAFA"/>
            <w:tcMar>
              <w:top w:w="130" w:type="dxa"/>
              <w:start w:w="175" w:type="dxa"/>
              <w:bottom w:w="120" w:type="dxa"/>
              <w:end w:w="175" w:type="dxa"/>
            </w:tcMar>
            <w:tcBorders>
              <w:top w:val="single" w:color="D8E2E4" w:sz="8"/>
              <w:bottom w:val="single" w:color="D8E2E4" w:sz="8"/>
            </w:tcBorders>
          </w:tcPr>
          <w:p>
            <w:pPr>
              <w:spacing w:after="40"/>
            </w:pPr>
            <w:r>
              <w:rPr>
                <w:rFonts w:ascii="Aptos" w:hAnsi="Aptos"/>
                <w:b/>
                <w:color w:val="255E73"/>
                <w:sz w:val="18"/>
              </w:rPr>
              <w:t>Mantieni il primo contatto sulla piattaforma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8364A"/>
                <w:sz w:val="17"/>
              </w:rPr>
              <w:t>Le FAQ di ImprendereOra indicano che link esterni, indirizzi email, numeri di telefono, IBAN e riferimenti a Telegram/WhatsApp sono bloccati nei messaggi. I modelli proposti non contengono questi elementi.</w:t>
            </w:r>
          </w:p>
        </w:tc>
      </w:tr>
    </w:tbl>
    <w:p>
      <w:pPr>
        <w:spacing w:after="0"/>
      </w:pPr>
    </w:p>
    <w:p>
      <w:pPr>
        <w:pStyle w:val="ListBullet"/>
        <w:spacing w:after="60"/>
        <w:ind w:left="312" w:hanging="85"/>
      </w:pPr>
      <w:r>
        <w:t>Non condividere in chat documenti di identità, credenziali, dati bancari o segreti aziendali non necessari.</w:t>
      </w:r>
    </w:p>
    <w:p>
      <w:pPr>
        <w:pStyle w:val="ListBullet"/>
        <w:spacing w:after="60"/>
        <w:ind w:left="312" w:hanging="85"/>
      </w:pPr>
      <w:r>
        <w:t>Nessun versamento anticipato per sbloccare una trattativa o verificare un investitore. Segnala richieste sospette.</w:t>
      </w:r>
    </w:p>
    <w:p>
      <w:pPr>
        <w:pStyle w:val="ListBullet"/>
        <w:spacing w:after="60"/>
        <w:ind w:left="312" w:hanging="85"/>
      </w:pPr>
      <w:r>
        <w:t>Un riepilogo di riunione non sostituisce un contratto, una delibera societaria o un documento sottoscritto.</w:t>
      </w:r>
    </w:p>
    <w:p>
      <w:pPr>
        <w:pStyle w:val="Heading1"/>
      </w:pPr>
      <w:r>
        <w:t>Formati e personalizzazione</w:t>
      </w:r>
    </w:p>
    <w:p>
      <w:pPr>
        <w:widowControl/>
      </w:pPr>
      <w:r>
        <w:t>Ogni prodotto è fornito in Word (.docx), da adattare, e in PDF, per consultazione e stampa. I campi [tra parentesi] richiedono la personalizzazione. Gli esempi sono dimostrativi e non rappresentano aziende o offerte reali.</w:t>
      </w:r>
    </w:p>
    <w:p>
      <w:pPr>
        <w:widowControl/>
      </w:pPr>
      <w:r>
        <w:t>Fonti di contesto della piattaforma: imprendereora.com/faq e imprendereora.com/projects (consultate il 4 novembre 2026).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19" w:right="1219" w:bottom="1106" w:left="1276" w:header="499" w:footer="46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ptos" w:hAnsi="Aptos"/>
        <w:b w:val="0"/>
        <w:color w:val="596674"/>
        <w:sz w:val="14"/>
      </w:rPr>
      <w:t xml:space="preserve">imprendereora.com   ·   Materiale informativo  | 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5102"/>
      <w:gridCol w:w="4309"/>
    </w:tblGrid>
    <w:tr>
      <w:tc>
        <w:tcPr>
          <w:tcW w:type="dxa" w:w="4706"/>
          <w:tcMar>
            <w:top w:w="0" w:type="dxa"/>
            <w:start w:w="0" w:type="dxa"/>
            <w:bottom w:w="0" w:type="dxa"/>
            <w:end w:w="0" w:type="dxa"/>
          </w:tcMar>
          <w:tcBorders>
            <w:bottom w:val="single" w:color="D8E2E4" w:sz="9"/>
          </w:tcBorders>
        </w:tcPr>
        <w:p>
          <w:r>
            <w:rPr>
              <w:rFonts w:ascii="Aptos" w:hAnsi="Aptos"/>
              <w:b/>
              <w:color w:val="18364A"/>
              <w:sz w:val="20"/>
            </w:rPr>
            <w:t>IMPRENDEREORA</w:t>
          </w:r>
        </w:p>
      </w:tc>
      <w:tc>
        <w:tcPr>
          <w:tcW w:type="dxa" w:w="4706"/>
          <w:tcMar>
            <w:top w:w="0" w:type="dxa"/>
            <w:start w:w="0" w:type="dxa"/>
            <w:bottom w:w="0" w:type="dxa"/>
            <w:end w:w="0" w:type="dxa"/>
          </w:tcMar>
          <w:tcBorders>
            <w:bottom w:val="single" w:color="D8E2E4" w:sz="9"/>
          </w:tcBorders>
        </w:tcPr>
        <w:p>
          <w:pPr>
            <w:jc w:val="right"/>
          </w:pPr>
          <w:r>
            <w:rPr>
              <w:rFonts w:ascii="Aptos" w:hAnsi="Aptos"/>
              <w:b/>
              <w:color w:val="596674"/>
              <w:sz w:val="15"/>
            </w:rPr>
            <w:t>KIT 06  /  MESSAGGI E CONTATTI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8" w:lineRule="auto" w:after="80"/>
    </w:pPr>
    <w:rPr>
      <w:rFonts w:ascii="Aptos" w:hAnsi="Aptos"/>
      <w:color w:val="18364A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255E73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ptos" w:hAnsi="Aptos"/>
      <w:b/>
      <w:bCs/>
      <w:color w:val="267F82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40"/>
      <w:outlineLvl w:val="2"/>
    </w:pPr>
    <w:rPr>
      <w:rFonts w:asciiTheme="majorHAnsi" w:eastAsiaTheme="majorEastAsia" w:hAnsiTheme="majorHAnsi" w:cstheme="majorBidi" w:ascii="Aptos" w:hAnsi="Aptos"/>
      <w:b/>
      <w:bCs/>
      <w:color w:val="18364A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8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8364A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odelBox">
    <w:name w:val="Model Box"/>
    <w:basedOn w:val="Normal"/>
    <w:pPr>
      <w:spacing w:before="80" w:after="120" w:line="288" w:lineRule="auto"/>
      <w:ind w:left="170" w:right="113"/>
    </w:pPr>
    <w:rPr>
      <w:color w:val="18364A"/>
      <w:sz w:val="18"/>
    </w:rPr>
  </w:style>
  <w:style w:type="paragraph" w:customStyle="1" w:styleId="LabelBox">
    <w:name w:val="Label Box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