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MODELLO COMPILABILE</w:t>
      </w:r>
    </w:p>
    <w:p>
      <w:pPr>
        <w:pStyle w:val="Title"/>
      </w:pPr>
      <w:r>
        <w:t>Scheda riservata del marchio</w:t>
      </w:r>
    </w:p>
    <w:p>
      <w:pPr>
        <w:pStyle w:val="Deck"/>
      </w:pPr>
      <w:r>
        <w:t>Dossier sintetico per colloqui qualificati: narrazione dell’eredità, prova dei diritti e quadro economico, senza pubblicare informazioni sensibili non necessarie.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RISERVATO — Condividere solo con destinatari identificati e autorizzati. Il documento non prova da solo titolarità, iscrizione ufficiale o valore del marchio.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A — Identità e contesto</w:t>
      </w:r>
    </w:p>
    <w:p>
      <w:pPr>
        <w:spacing w:after="120"/>
      </w:pPr>
      <w:r>
        <w:rPr>
          <w:b/>
          <w:color w:val="142B3E"/>
        </w:rPr>
        <w:t xml:space="preserve">Nome del brand  </w:t>
      </w:r>
      <w:r>
        <w:rPr>
          <w:color w:val="607282"/>
        </w:rPr>
        <w:t>[Marchio / denominazione]</w:t>
      </w:r>
    </w:p>
    <w:p>
      <w:pPr>
        <w:spacing w:after="120"/>
      </w:pPr>
      <w:r>
        <w:rPr>
          <w:b/>
          <w:color w:val="142B3E"/>
        </w:rPr>
        <w:t xml:space="preserve">Settore e prodotti  </w:t>
      </w:r>
      <w:r>
        <w:rPr>
          <w:color w:val="607282"/>
        </w:rPr>
        <w:t>[Es. alimentare / manifattura / moda]</w:t>
      </w:r>
    </w:p>
    <w:p>
      <w:pPr>
        <w:spacing w:after="120"/>
      </w:pPr>
      <w:r>
        <w:rPr>
          <w:b/>
          <w:color w:val="142B3E"/>
        </w:rPr>
        <w:t xml:space="preserve">Territorio operativo  </w:t>
      </w:r>
      <w:r>
        <w:rPr>
          <w:color w:val="607282"/>
        </w:rPr>
        <w:t>[Regione / Italia / mercati esteri]</w:t>
      </w:r>
    </w:p>
    <w:p>
      <w:pPr>
        <w:spacing w:after="120"/>
      </w:pPr>
      <w:r>
        <w:rPr>
          <w:b/>
          <w:color w:val="142B3E"/>
        </w:rPr>
        <w:t xml:space="preserve">Anno di origine e fonte  </w:t>
      </w:r>
      <w:r>
        <w:rPr>
          <w:color w:val="607282"/>
        </w:rPr>
        <w:t>[Anno] — [evidenze archiviabili]</w:t>
      </w:r>
    </w:p>
    <w:p>
      <w:pPr>
        <w:spacing w:after="120"/>
      </w:pPr>
      <w:r>
        <w:rPr>
          <w:b/>
          <w:color w:val="142B3E"/>
        </w:rPr>
        <w:t xml:space="preserve">Titolare giuridico  </w:t>
      </w:r>
      <w:r>
        <w:rPr>
          <w:color w:val="607282"/>
        </w:rPr>
        <w:t>[Società/persona, visura/registro da verificare]</w:t>
      </w:r>
    </w:p>
    <w:p>
      <w:pPr>
        <w:spacing w:after="120"/>
      </w:pPr>
      <w:r>
        <w:rPr>
          <w:b/>
          <w:color w:val="142B3E"/>
        </w:rPr>
        <w:t xml:space="preserve">Stato attuale  </w:t>
      </w:r>
      <w:r>
        <w:rPr>
          <w:color w:val="607282"/>
        </w:rPr>
        <w:t>[Attivo / sospeso / da rilanciare]</w:t>
      </w:r>
    </w:p>
    <w:p>
      <w:pPr>
        <w:spacing w:after="120"/>
      </w:pPr>
      <w:r>
        <w:rPr>
          <w:b/>
          <w:color w:val="142B3E"/>
        </w:rPr>
        <w:t xml:space="preserve">Responsabile del contatto  </w:t>
      </w:r>
      <w:r>
        <w:rPr>
          <w:color w:val="607282"/>
        </w:rPr>
        <w:t>[Referente e canale sicuro autorizzato]</w:t>
      </w:r>
    </w:p>
    <w:p>
      <w:pPr>
        <w:pStyle w:val="Heading1"/>
      </w:pPr>
      <w:r>
        <w:t>B — Storia, patrimonio e distintività</w:t>
      </w:r>
    </w:p>
    <w:p>
      <w:pPr>
        <w:spacing w:after="120"/>
      </w:pPr>
      <w:r>
        <w:rPr>
          <w:b/>
          <w:color w:val="142B3E"/>
        </w:rPr>
        <w:t xml:space="preserve">Tre tappe documentate  </w:t>
      </w:r>
      <w:r>
        <w:rPr>
          <w:color w:val="607282"/>
        </w:rPr>
        <w:t>[Origine] / [Sviluppo] / [Milestone]</w:t>
      </w:r>
    </w:p>
    <w:p>
      <w:pPr>
        <w:spacing w:after="120"/>
      </w:pPr>
      <w:r>
        <w:rPr>
          <w:b/>
          <w:color w:val="142B3E"/>
        </w:rPr>
        <w:t xml:space="preserve">Reputazione misurabile  </w:t>
      </w:r>
      <w:r>
        <w:rPr>
          <w:color w:val="607282"/>
        </w:rPr>
        <w:t>[Esempi: repeat rate, prezzo medio, premi documentati]</w:t>
      </w:r>
    </w:p>
    <w:p>
      <w:pPr>
        <w:spacing w:after="120"/>
      </w:pPr>
      <w:r>
        <w:rPr>
          <w:b/>
          <w:color w:val="142B3E"/>
        </w:rPr>
        <w:t xml:space="preserve">Archivi e contenuti disponibili  </w:t>
      </w:r>
      <w:r>
        <w:rPr>
          <w:color w:val="607282"/>
        </w:rPr>
        <w:t>[Cataloghi, fotografie, design, ricette, stampi, know-how]</w:t>
      </w:r>
    </w:p>
    <w:p>
      <w:pPr>
        <w:spacing w:after="120"/>
      </w:pPr>
      <w:r>
        <w:rPr>
          <w:b/>
          <w:color w:val="142B3E"/>
        </w:rPr>
        <w:t xml:space="preserve">Prova della continuità d’uso  </w:t>
      </w:r>
      <w:r>
        <w:rPr>
          <w:color w:val="607282"/>
        </w:rPr>
        <w:t>[Documenti, periodi, eventuali interruzioni]</w:t>
      </w:r>
    </w:p>
    <w:p>
      <w:pPr>
        <w:spacing w:after="120"/>
      </w:pPr>
      <w:r>
        <w:rPr>
          <w:b/>
          <w:color w:val="142B3E"/>
        </w:rPr>
        <w:t xml:space="preserve">Iscrizione Registro marchi storici  </w:t>
      </w:r>
      <w:r>
        <w:rPr>
          <w:color w:val="607282"/>
        </w:rPr>
        <w:t>[Sì/No/Non verificata; estremi se sì]</w:t>
      </w:r>
    </w:p>
    <w:p>
      <w:pPr>
        <w:pStyle w:val="Heading1"/>
      </w:pPr>
      <w:r>
        <w:t>C — Diritti e perimetro proposto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268"/>
        <w:gridCol w:w="4422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Bene / diritto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Titolarità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Stato / limite</w:t>
            </w:r>
          </w:p>
        </w:tc>
      </w:tr>
      <w:tr>
        <w:trPr>
          <w:cantSplit/>
        </w:trPr>
        <w:tc>
          <w:tcPr>
            <w:tcW w:type="dxa" w:w="255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Marchio verbale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[Titolare]</w:t>
            </w:r>
          </w:p>
        </w:tc>
        <w:tc>
          <w:tcPr>
            <w:tcW w:type="dxa" w:w="442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[N. deposito/registrazione, classi, paesi, scadenza]</w:t>
            </w:r>
          </w:p>
        </w:tc>
      </w:tr>
      <w:tr>
        <w:trPr>
          <w:cantSplit/>
        </w:trPr>
        <w:tc>
          <w:tcPr>
            <w:tcW w:type="dxa" w:w="255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Marchio figurativo / logo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[Titolare]</w:t>
            </w:r>
          </w:p>
        </w:tc>
        <w:tc>
          <w:tcPr>
            <w:tcW w:type="dxa" w:w="442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[Registrazioni e diritti grafici]</w:t>
            </w:r>
          </w:p>
        </w:tc>
      </w:tr>
      <w:tr>
        <w:trPr>
          <w:cantSplit/>
        </w:trPr>
        <w:tc>
          <w:tcPr>
            <w:tcW w:type="dxa" w:w="255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Domini e social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[Titolare]</w:t>
            </w:r>
          </w:p>
        </w:tc>
        <w:tc>
          <w:tcPr>
            <w:tcW w:type="dxa" w:w="442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[Accessi verificati, licenze, limiti]</w:t>
            </w:r>
          </w:p>
        </w:tc>
      </w:tr>
      <w:tr>
        <w:trPr>
          <w:cantSplit/>
        </w:trPr>
        <w:tc>
          <w:tcPr>
            <w:tcW w:type="dxa" w:w="255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Licenze concesse a terzi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[Controparte]</w:t>
            </w:r>
          </w:p>
        </w:tc>
        <w:tc>
          <w:tcPr>
            <w:tcW w:type="dxa" w:w="442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[Territorio, durata, esclusiva]</w:t>
            </w:r>
          </w:p>
        </w:tc>
      </w:tr>
      <w:tr>
        <w:trPr>
          <w:cantSplit/>
        </w:trPr>
        <w:tc>
          <w:tcPr>
            <w:tcW w:type="dxa" w:w="255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Archivi, ricette, disegni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[Titolare]</w:t>
            </w:r>
          </w:p>
        </w:tc>
        <w:tc>
          <w:tcPr>
            <w:tcW w:type="dxa" w:w="442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[Diritti d’autore, segreti, contratti]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Operazione desiderata  </w:t>
      </w:r>
      <w:r>
        <w:rPr>
          <w:color w:val="607282"/>
        </w:rPr>
        <w:t>[Cessione marchio / azienda / ramo / quote / licenza / partner]</w:t>
      </w:r>
    </w:p>
    <w:p>
      <w:pPr>
        <w:spacing w:after="120"/>
      </w:pPr>
      <w:r>
        <w:rPr>
          <w:b/>
          <w:color w:val="142B3E"/>
        </w:rPr>
        <w:t xml:space="preserve">Asset esclusi  </w:t>
      </w:r>
      <w:r>
        <w:rPr>
          <w:color w:val="607282"/>
        </w:rPr>
        <w:t>[Es. immobili, crediti, stock, marchi terzi]</w:t>
      </w:r>
    </w:p>
    <w:p>
      <w:pPr>
        <w:pStyle w:val="Heading1"/>
      </w:pPr>
      <w:r>
        <w:t>D — Numeri sintetici (da validare)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984"/>
        <w:gridCol w:w="1984"/>
        <w:gridCol w:w="2041"/>
      </w:tblGrid>
      <w:tr>
        <w:trPr>
          <w:cantSplit/>
        </w:trPr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Esercizio -2</w:t>
            </w:r>
          </w:p>
        </w:tc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Esercizio -1</w:t>
            </w:r>
          </w:p>
        </w:tc>
        <w:tc>
          <w:tcPr>
            <w:tcW w:type="dxa" w:w="2367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Ultimo esercizio</w:t>
            </w:r>
          </w:p>
        </w:tc>
      </w:tr>
      <w:tr>
        <w:trPr>
          <w:cantSplit/>
        </w:trPr>
        <w:tc>
          <w:tcPr>
            <w:tcW w:type="dxa" w:w="323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Ricavi attribuibili al brand (€)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323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Margine operativo / EBITDA (€)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323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Vendite dirette / distribuzione (%)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323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Dipendenti / risorse dedicate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323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Clienti attivi (n.)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Qualità dei dati  </w:t>
      </w:r>
      <w:r>
        <w:rPr>
          <w:color w:val="607282"/>
        </w:rPr>
        <w:t>[Bilanci certificati / contabilità gestionale / stime non revisionate]</w:t>
      </w:r>
    </w:p>
    <w:p>
      <w:pPr>
        <w:spacing w:after="120"/>
      </w:pPr>
      <w:r>
        <w:rPr>
          <w:b/>
          <w:color w:val="142B3E"/>
        </w:rPr>
        <w:t xml:space="preserve">Concentrazione commerciale  </w:t>
      </w:r>
      <w:r>
        <w:rPr>
          <w:color w:val="607282"/>
        </w:rPr>
        <w:t>[Primi 3 clienti / distributori, dati aggregati]</w:t>
      </w:r>
    </w:p>
    <w:p>
      <w:pPr>
        <w:spacing w:after="120"/>
      </w:pPr>
      <w:r>
        <w:rPr>
          <w:b/>
          <w:color w:val="142B3E"/>
        </w:rPr>
        <w:t xml:space="preserve">Debito e capitale circolante  </w:t>
      </w:r>
      <w:r>
        <w:rPr>
          <w:color w:val="607282"/>
        </w:rPr>
        <w:t>[Solo se parte dell’operazione]</w:t>
      </w:r>
    </w:p>
    <w:p>
      <w:pPr>
        <w:pStyle w:val="Heading1"/>
      </w:pPr>
      <w:r>
        <w:t>E — Opportunità e continuità</w:t>
      </w:r>
    </w:p>
    <w:p>
      <w:pPr>
        <w:spacing w:after="120"/>
      </w:pPr>
      <w:r>
        <w:rPr>
          <w:b/>
          <w:color w:val="142B3E"/>
        </w:rPr>
        <w:t xml:space="preserve">Perché oggi  </w:t>
      </w:r>
      <w:r>
        <w:rPr>
          <w:color w:val="607282"/>
        </w:rPr>
        <w:t>[Vendita / successione / ricerca di capitale / ristrutturazione]</w:t>
      </w:r>
    </w:p>
    <w:p>
      <w:pPr>
        <w:spacing w:after="120"/>
      </w:pPr>
      <w:r>
        <w:rPr>
          <w:b/>
          <w:color w:val="142B3E"/>
        </w:rPr>
        <w:t xml:space="preserve">Cosa cerca il titolare  </w:t>
      </w:r>
      <w:r>
        <w:rPr>
          <w:color w:val="607282"/>
        </w:rPr>
        <w:t>[Acquirente, partner industriale, licenziatario, nuovo management]</w:t>
      </w:r>
    </w:p>
    <w:p>
      <w:pPr>
        <w:spacing w:after="120"/>
      </w:pPr>
      <w:r>
        <w:rPr>
          <w:b/>
          <w:color w:val="142B3E"/>
        </w:rPr>
        <w:t xml:space="preserve">Capacità produttiva / supply chain  </w:t>
      </w:r>
      <w:r>
        <w:rPr>
          <w:color w:val="607282"/>
        </w:rPr>
        <w:t>[Stato e dipendenze]</w:t>
      </w:r>
    </w:p>
    <w:p>
      <w:pPr>
        <w:spacing w:after="120"/>
      </w:pPr>
      <w:r>
        <w:rPr>
          <w:b/>
          <w:color w:val="142B3E"/>
        </w:rPr>
        <w:t xml:space="preserve">Budget stimato per rilancio  </w:t>
      </w:r>
      <w:r>
        <w:rPr>
          <w:color w:val="607282"/>
        </w:rPr>
        <w:t>[Stima, ipotesi e fonti; non promessa di risultato]</w:t>
      </w:r>
    </w:p>
    <w:p>
      <w:pPr>
        <w:spacing w:after="120"/>
      </w:pPr>
      <w:r>
        <w:rPr>
          <w:b/>
          <w:color w:val="142B3E"/>
        </w:rPr>
        <w:t xml:space="preserve">Transizione proposta  </w:t>
      </w:r>
      <w:r>
        <w:rPr>
          <w:color w:val="607282"/>
        </w:rPr>
        <w:t>[Affiancamento, tempi, trasferimento know-how]</w:t>
      </w:r>
    </w:p>
    <w:p>
      <w:pPr>
        <w:spacing w:after="120"/>
      </w:pPr>
      <w:r>
        <w:rPr>
          <w:b/>
          <w:color w:val="142B3E"/>
        </w:rPr>
        <w:t xml:space="preserve">Vincoli conosciuti  </w:t>
      </w:r>
      <w:r>
        <w:rPr>
          <w:color w:val="607282"/>
        </w:rPr>
        <w:t>[Personale, licenze, contenziosi, autorizzazioni]</w:t>
      </w:r>
    </w:p>
    <w:p>
      <w:pPr>
        <w:pStyle w:val="Heading1"/>
      </w:pPr>
      <w:r>
        <w:t>F — Materiali disponibili in data room</w:t>
      </w:r>
    </w:p>
    <w:p>
      <w:pPr>
        <w:spacing w:after="80"/>
      </w:pPr>
      <w:r>
        <w:t xml:space="preserve">☐  </w:t>
      </w:r>
      <w:r>
        <w:t>Documenti sui marchi e visure aggiornate</w:t>
      </w:r>
    </w:p>
    <w:p>
      <w:pPr>
        <w:spacing w:after="80"/>
      </w:pPr>
      <w:r>
        <w:t xml:space="preserve">☐  </w:t>
      </w:r>
      <w:r>
        <w:t>Bilanci o rendiconti, con perimetro esplicitato</w:t>
      </w:r>
    </w:p>
    <w:p>
      <w:pPr>
        <w:spacing w:after="80"/>
      </w:pPr>
      <w:r>
        <w:t xml:space="preserve">☐  </w:t>
      </w:r>
      <w:r>
        <w:t>Contratti principali redatti o minimizzati</w:t>
      </w:r>
    </w:p>
    <w:p>
      <w:pPr>
        <w:spacing w:after="80"/>
      </w:pPr>
      <w:r>
        <w:t xml:space="preserve">☐  </w:t>
      </w:r>
      <w:r>
        <w:t>Lista asset immateriali e diritti</w:t>
      </w:r>
    </w:p>
    <w:p>
      <w:pPr>
        <w:spacing w:after="80"/>
      </w:pPr>
      <w:r>
        <w:t xml:space="preserve">☐  </w:t>
      </w:r>
      <w:r>
        <w:t>Mappa lavoratori / consulenti e ruoli</w:t>
      </w:r>
    </w:p>
    <w:p>
      <w:pPr>
        <w:spacing w:after="80"/>
      </w:pPr>
      <w:r>
        <w:t xml:space="preserve">☐  </w:t>
      </w:r>
      <w:r>
        <w:t>Registro dei rischi e delle informazioni non verificate</w:t>
      </w:r>
    </w:p>
    <w:p>
      <w:pPr>
        <w:spacing w:after="120"/>
      </w:pPr>
      <w:r>
        <w:rPr>
          <w:b/>
          <w:color w:val="142B3E"/>
        </w:rPr>
        <w:t xml:space="preserve">Numero documento e data aggiornamento  </w:t>
      </w:r>
      <w:r>
        <w:rPr>
          <w:color w:val="607282"/>
        </w:rPr>
        <w:t>[HER-XX] / [gg/mm/aaaa]</w:t>
      </w:r>
    </w:p>
    <w:p>
      <w:pPr>
        <w:spacing w:after="120"/>
      </w:pPr>
      <w:r>
        <w:rPr>
          <w:b/>
          <w:color w:val="142B3E"/>
        </w:rPr>
        <w:t xml:space="preserve">Destinatario autorizzato  </w:t>
      </w:r>
      <w:r>
        <w:rPr>
          <w:color w:val="607282"/>
        </w:rPr>
        <w:t>[Nome, ruolo e base della condivisione]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Riservatezza: non inserire nomi di dipendenti, clienti o condizioni commerciali dettagliate nella scheda iniziale. Usare la data room solo quando realmente necessario.</w:t>
            </w:r>
          </w:p>
        </w:tc>
      </w:tr>
    </w:tbl>
    <w:p>
      <w:pPr>
        <w:pStyle w:val="SmallNote"/>
      </w:pPr>
      <w:r/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riservata del marchio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