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01 / GUIDA PRATICA</w:t>
      </w:r>
    </w:p>
    <w:p>
      <w:pPr>
        <w:pStyle w:val="Title"/>
        <w:keepNext w:val="0"/>
        <w:spacing w:before="0" w:after="100" w:line="259" w:lineRule="auto"/>
      </w:pPr>
      <w:r>
        <w:t>Come scegliere un socio operativo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Valori, integrità e affidabilità di lungo periodo: una procedura per non scegliere un cofounder solo in base all’entusiasmo.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EAF5F3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Principio:</w:t>
            </w:r>
            <w:r>
              <w:t xml:space="preserve"> il socio operativo non è semplicemente un collaboratore bravo. È una persona con cui condividi potere decisionale, rischi, informazioni sensibili e possibili anni di conflitti.</w:t>
            </w:r>
          </w:p>
        </w:tc>
      </w:tr>
    </w:tbl>
    <w:p>
      <w:pPr>
        <w:spacing w:after="0"/>
      </w:pPr>
    </w:p>
    <w:p>
      <w:pPr>
        <w:pStyle w:val="Heading1"/>
      </w:pPr>
      <w:r>
        <w:t>1. Parti dal problema, non dalla persona</w:t>
      </w:r>
    </w:p>
    <w:p>
      <w:pPr>
        <w:keepNext w:val="0"/>
        <w:spacing w:before="0" w:after="140" w:line="286" w:lineRule="auto"/>
      </w:pPr>
      <w:r>
        <w:t>Scrivi il collo di bottiglia che un socio dovrebbe risolvere: vendite, costruzione del prodotto, gestione operativa, finanza o apertura di un nuovo mercato. Se il bisogno è temporaneo e ben definito, valuta prima un fornitore, un dipendente o un contratto di collaborazione.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408"/>
      </w:tblGrid>
      <w:tr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DOMANDA</w:t>
            </w:r>
          </w:p>
        </w:tc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ESEMPIO DI RISPOSTA CONCRETA</w:t>
            </w:r>
          </w:p>
        </w:tc>
      </w:tr>
      <w:t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Cosa manca oggi?</w:t>
            </w:r>
          </w:p>
        </w:tc>
        <w:tc>
          <w:tcPr>
            <w:tcW w:type="dxa" w:w="640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Nessuno gestisce il processo commerciale e la pipeline. Nel trimestre abbiamo perso 12 opportunità.</w:t>
            </w:r>
          </w:p>
        </w:tc>
      </w:tr>
      <w:t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Cosa deve produrre in 90 giorni?</w:t>
            </w:r>
          </w:p>
        </w:tc>
        <w:tc>
          <w:tcPr>
            <w:tcW w:type="dxa" w:w="640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20 colloqui cliente, 5 preventivi validati, CRM aggiornato e processo di follow-up.</w:t>
            </w:r>
          </w:p>
        </w:tc>
      </w:tr>
      <w:t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Quale impegno serve?</w:t>
            </w:r>
          </w:p>
        </w:tc>
        <w:tc>
          <w:tcPr>
            <w:tcW w:type="dxa" w:w="640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Almeno 15 ore a settimana, con disponibilità concordata il martedì e il venerdì.</w:t>
            </w:r>
          </w:p>
        </w:tc>
      </w:tr>
      <w:t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Chi decide cosa?</w:t>
            </w:r>
          </w:p>
        </w:tc>
        <w:tc>
          <w:tcPr>
            <w:tcW w:type="dxa" w:w="640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Il socio operativo decide sulle attività entro il budget approvato, ma non modifica quote o debiti.</w:t>
            </w:r>
          </w:p>
        </w:tc>
      </w:tr>
    </w:tbl>
    <w:p>
      <w:pPr>
        <w:spacing w:after="0"/>
      </w:pPr>
    </w:p>
    <w:p>
      <w:pPr>
        <w:pStyle w:val="Heading1"/>
      </w:pPr>
      <w:r>
        <w:t>2. Sei dimensioni da osservare</w:t>
      </w:r>
    </w:p>
    <w:p>
      <w:pPr>
        <w:pStyle w:val="Heading2"/>
      </w:pPr>
      <w:r>
        <w:t>Integrità</w:t>
      </w:r>
    </w:p>
    <w:p>
      <w:pPr>
        <w:keepNext w:val="0"/>
        <w:spacing w:before="0" w:after="140" w:line="286" w:lineRule="auto"/>
      </w:pPr>
      <w:r>
        <w:t>Riporta errori senza nasconderli; rispetta accordi piccoli; espone conflitti di interesse.</w:t>
      </w:r>
    </w:p>
    <w:p>
      <w:pPr>
        <w:keepNext w:val="0"/>
        <w:spacing w:before="0" w:after="140" w:line="286" w:lineRule="auto"/>
      </w:pPr>
      <w:r>
        <w:rPr>
          <w:b/>
        </w:rPr>
        <w:t>Domanda da fare:</w:t>
      </w:r>
      <w:r>
        <w:t xml:space="preserve"> Come hai gestito una promessa che non potevi mantenere?</w:t>
      </w:r>
    </w:p>
    <w:p>
      <w:pPr>
        <w:pStyle w:val="Heading2"/>
      </w:pPr>
      <w:r>
        <w:t>Valori e orizzonte</w:t>
      </w:r>
    </w:p>
    <w:p>
      <w:pPr>
        <w:keepNext w:val="0"/>
        <w:spacing w:before="0" w:after="140" w:line="286" w:lineRule="auto"/>
      </w:pPr>
      <w:r>
        <w:t>Condivide priorità su qualità, legalità, trattamento dei clienti, distribuzione degli utili e rischio.</w:t>
      </w:r>
    </w:p>
    <w:p>
      <w:pPr>
        <w:keepNext w:val="0"/>
        <w:spacing w:before="0" w:after="140" w:line="286" w:lineRule="auto"/>
      </w:pPr>
      <w:r>
        <w:rPr>
          <w:b/>
        </w:rPr>
        <w:t>Domanda da fare:</w:t>
      </w:r>
      <w:r>
        <w:t xml:space="preserve"> Preferisci ridurre i margini o rinunciare a un cliente poco trasparente?</w:t>
      </w:r>
    </w:p>
    <w:p>
      <w:pPr>
        <w:pStyle w:val="Heading2"/>
      </w:pPr>
      <w:r>
        <w:t>Esecuzione</w:t>
      </w:r>
    </w:p>
    <w:p>
      <w:pPr>
        <w:keepNext w:val="0"/>
        <w:spacing w:before="0" w:after="140" w:line="286" w:lineRule="auto"/>
      </w:pPr>
      <w:r>
        <w:t>Consegna lavoro verificabile entro tempi concordati; non confonde intenzioni e risultati.</w:t>
      </w:r>
    </w:p>
    <w:p>
      <w:pPr>
        <w:keepNext w:val="0"/>
        <w:spacing w:before="0" w:after="140" w:line="286" w:lineRule="auto"/>
      </w:pPr>
      <w:r>
        <w:rPr>
          <w:b/>
        </w:rPr>
        <w:t>Domanda da fare:</w:t>
      </w:r>
      <w:r>
        <w:t xml:space="preserve"> Mostrami un progetto completato e una metrica che hai migliorato.</w:t>
      </w:r>
    </w:p>
    <w:p>
      <w:pPr>
        <w:pStyle w:val="Heading2"/>
      </w:pPr>
      <w:r>
        <w:t>Gestione del dissenso</w:t>
      </w:r>
    </w:p>
    <w:p>
      <w:pPr>
        <w:keepNext w:val="0"/>
        <w:spacing w:before="0" w:after="140" w:line="286" w:lineRule="auto"/>
      </w:pPr>
      <w:r>
        <w:t>Discute sui fatti, non manipola, non sparisce durante i conflitti.</w:t>
      </w:r>
    </w:p>
    <w:p>
      <w:pPr>
        <w:keepNext w:val="0"/>
        <w:spacing w:before="0" w:after="140" w:line="286" w:lineRule="auto"/>
      </w:pPr>
      <w:r>
        <w:rPr>
          <w:b/>
        </w:rPr>
        <w:t>Domanda da fare:</w:t>
      </w:r>
      <w:r>
        <w:t xml:space="preserve"> Raccontami quando hai cambiato opinione dopo un dato contrario.</w:t>
      </w:r>
    </w:p>
    <w:p>
      <w:pPr>
        <w:pStyle w:val="Heading2"/>
      </w:pPr>
      <w:r>
        <w:t>Capacità complementari</w:t>
      </w:r>
    </w:p>
    <w:p>
      <w:pPr>
        <w:keepNext w:val="0"/>
        <w:spacing w:before="0" w:after="140" w:line="286" w:lineRule="auto"/>
      </w:pPr>
      <w:r>
        <w:t>Apporta competenze che mancano al progetto, non duplicazioni poco utili.</w:t>
      </w:r>
    </w:p>
    <w:p>
      <w:pPr>
        <w:keepNext w:val="0"/>
        <w:spacing w:before="0" w:after="140" w:line="286" w:lineRule="auto"/>
      </w:pPr>
      <w:r>
        <w:rPr>
          <w:b/>
        </w:rPr>
        <w:t>Domanda da fare:</w:t>
      </w:r>
      <w:r>
        <w:t xml:space="preserve"> Cosa sapresti decidere ed eseguire senza di me?</w:t>
      </w:r>
    </w:p>
    <w:p>
      <w:pPr>
        <w:pStyle w:val="Heading2"/>
      </w:pPr>
      <w:r>
        <w:t>Resilienza finanziaria</w:t>
      </w:r>
    </w:p>
    <w:p>
      <w:pPr>
        <w:keepNext w:val="0"/>
        <w:spacing w:before="0" w:after="140" w:line="286" w:lineRule="auto"/>
      </w:pPr>
      <w:r>
        <w:t>Ha un piano realistico di reddito e tempo; non ha bisogno che l’azienda lo sostenga subito se non possibile.</w:t>
      </w:r>
    </w:p>
    <w:p>
      <w:pPr>
        <w:keepNext w:val="0"/>
        <w:spacing w:before="0" w:after="140" w:line="286" w:lineRule="auto"/>
      </w:pPr>
      <w:r>
        <w:rPr>
          <w:b/>
        </w:rPr>
        <w:t>Domanda da fare:</w:t>
      </w:r>
      <w:r>
        <w:t xml:space="preserve"> Per quanti mesi puoi sostenere questa scelta in uno scenario senza ricavi?</w:t>
      </w:r>
    </w:p>
    <w:p>
      <w:pPr>
        <w:pStyle w:val="Heading1"/>
      </w:pPr>
      <w:r>
        <w:t>3. Verifica: parole, prove, comportamento</w:t>
      </w:r>
    </w:p>
    <w:p>
      <w:pPr>
        <w:pStyle w:val="ListNumber"/>
        <w:keepNext w:val="0"/>
        <w:spacing w:before="0" w:after="100" w:line="276" w:lineRule="auto"/>
      </w:pPr>
      <w:r>
        <w:t>Colloquio 1: allineamento su ambizione, valori non negoziabili e motivo dell’ingresso.</w:t>
      </w:r>
    </w:p>
    <w:p>
      <w:pPr>
        <w:pStyle w:val="ListNumber"/>
        <w:keepNext w:val="0"/>
        <w:spacing w:before="0" w:after="100" w:line="276" w:lineRule="auto"/>
      </w:pPr>
      <w:r>
        <w:t xml:space="preserve">Colloquio 2: casi reali, lavori precedenti, responsabilità personali e referenze </w:t>
      </w:r>
      <w:r>
        <w:rPr>
          <w:b/>
        </w:rPr>
        <w:t>con consenso</w:t>
      </w:r>
      <w:r>
        <w:t>.</w:t>
      </w:r>
    </w:p>
    <w:p>
      <w:pPr>
        <w:pStyle w:val="ListNumber"/>
        <w:keepNext w:val="0"/>
        <w:spacing w:before="0" w:after="100" w:line="276" w:lineRule="auto"/>
      </w:pPr>
      <w:r>
        <w:t>Prova a tempo: progetto di 2–4 settimane con scadenze, risultati, budget e proprietà del lavoro chiariti.</w:t>
      </w:r>
    </w:p>
    <w:p>
      <w:pPr>
        <w:pStyle w:val="ListNumber"/>
        <w:keepNext w:val="0"/>
        <w:spacing w:before="0" w:after="100" w:line="276" w:lineRule="auto"/>
      </w:pPr>
      <w:r>
        <w:t>Retrospettiva congiunta: puntualità, feedback, collaborazione, gestione dei problemi, qualità e affidabilità.</w:t>
      </w:r>
    </w:p>
    <w:p>
      <w:pPr>
        <w:pStyle w:val="ListNumber"/>
        <w:keepNext w:val="0"/>
        <w:spacing w:before="0" w:after="100" w:line="276" w:lineRule="auto"/>
      </w:pPr>
      <w:r>
        <w:t>Solo dopo: discutere di quote, compensi, vesting, governance e uscita.</w:t>
      </w:r>
    </w:p>
    <w:p>
      <w:pPr>
        <w:pStyle w:val="Heading1"/>
      </w:pPr>
      <w:r>
        <w:t>4. Cinque segnali da approfondire</w:t>
      </w:r>
    </w:p>
    <w:p>
      <w:pPr>
        <w:pStyle w:val="ListBullet"/>
        <w:keepNext w:val="0"/>
        <w:spacing w:before="0" w:after="100" w:line="276" w:lineRule="auto"/>
      </w:pPr>
      <w:r>
        <w:t>Richiede percentuali alte prima di aver chiarito contributo, presenza e risultati.</w:t>
      </w:r>
    </w:p>
    <w:p>
      <w:pPr>
        <w:pStyle w:val="ListBullet"/>
        <w:keepNext w:val="0"/>
        <w:spacing w:before="0" w:after="100" w:line="276" w:lineRule="auto"/>
      </w:pPr>
      <w:r>
        <w:t>Evita domande sui fallimenti o cambia versione dei fatti quando chiedi documenti.</w:t>
      </w:r>
    </w:p>
    <w:p>
      <w:pPr>
        <w:pStyle w:val="ListBullet"/>
        <w:keepNext w:val="0"/>
        <w:spacing w:before="0" w:after="100" w:line="276" w:lineRule="auto"/>
      </w:pPr>
      <w:r>
        <w:t>Rifiuta meccanismi equilibrati di accountability o un periodo di prova.</w:t>
      </w:r>
    </w:p>
    <w:p>
      <w:pPr>
        <w:pStyle w:val="ListBullet"/>
        <w:keepNext w:val="0"/>
        <w:spacing w:before="0" w:after="100" w:line="276" w:lineRule="auto"/>
      </w:pPr>
      <w:r>
        <w:t>Promette risultati garantiti senza analisi o pretende accessi illimitati prima di accordi minimi.</w:t>
      </w:r>
    </w:p>
    <w:p>
      <w:pPr>
        <w:pStyle w:val="ListBullet"/>
        <w:keepNext w:val="0"/>
        <w:spacing w:before="0" w:after="100" w:line="276" w:lineRule="auto"/>
      </w:pPr>
      <w:r>
        <w:t>Usa segreti, pressione o urgenza come sostituti della verifica.</w:t>
      </w:r>
    </w:p>
    <w:p>
      <w:pPr>
        <w:pStyle w:val="Heading1"/>
      </w:pPr>
      <w:r>
        <w:t>5. Matrice di scelta — non decidere soltanto col totale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1944"/>
        <w:gridCol w:w="4464"/>
      </w:tblGrid>
      <w:tr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FATTORE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PESO INDICATIVO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PROVA MINIMA</w:t>
            </w:r>
          </w:p>
        </w:tc>
      </w:tr>
      <w:t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Integrità e affidabilità</w:t>
            </w:r>
          </w:p>
        </w:tc>
        <w:tc>
          <w:tcPr>
            <w:tcW w:type="dxa" w:w="19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30%</w:t>
            </w:r>
          </w:p>
        </w:tc>
        <w:tc>
          <w:tcPr>
            <w:tcW w:type="dxa" w:w="446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Episodi verificabili, referenze autorizzate</w:t>
            </w:r>
          </w:p>
        </w:tc>
      </w:tr>
      <w:t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Valori e decisioni</w:t>
            </w:r>
          </w:p>
        </w:tc>
        <w:tc>
          <w:tcPr>
            <w:tcW w:type="dxa" w:w="19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20%</w:t>
            </w:r>
          </w:p>
        </w:tc>
        <w:tc>
          <w:tcPr>
            <w:tcW w:type="dxa" w:w="446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Dilemmi discussi senza risposte di facciata</w:t>
            </w:r>
          </w:p>
        </w:tc>
      </w:tr>
      <w:t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Competenze e risultati</w:t>
            </w:r>
          </w:p>
        </w:tc>
        <w:tc>
          <w:tcPr>
            <w:tcW w:type="dxa" w:w="19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20%</w:t>
            </w:r>
          </w:p>
        </w:tc>
        <w:tc>
          <w:tcPr>
            <w:tcW w:type="dxa" w:w="446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Consegne, casi, metriche</w:t>
            </w:r>
          </w:p>
        </w:tc>
      </w:tr>
      <w:t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Tempo e continuità</w:t>
            </w:r>
          </w:p>
        </w:tc>
        <w:tc>
          <w:tcPr>
            <w:tcW w:type="dxa" w:w="19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15%</w:t>
            </w:r>
          </w:p>
        </w:tc>
        <w:tc>
          <w:tcPr>
            <w:tcW w:type="dxa" w:w="446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Agenda e impegni reali</w:t>
            </w:r>
          </w:p>
        </w:tc>
      </w:tr>
      <w:tr>
        <w:tc>
          <w:tcPr>
            <w:tcW w:type="dxa" w:w="2952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Compatibilità nel conflitto</w:t>
            </w:r>
          </w:p>
        </w:tc>
        <w:tc>
          <w:tcPr>
            <w:tcW w:type="dxa" w:w="19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15%</w:t>
            </w:r>
          </w:p>
        </w:tc>
        <w:tc>
          <w:tcPr>
            <w:tcW w:type="dxa" w:w="446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Dibattito strutturato su un caso difficile</w:t>
            </w:r>
          </w:p>
        </w:tc>
      </w:tr>
    </w:tbl>
    <w:p>
      <w:pPr>
        <w:spacing w:after="0"/>
      </w:pPr>
    </w:p>
    <w:p>
      <w:pPr>
        <w:keepNext w:val="0"/>
        <w:spacing w:before="0" w:after="140" w:line="286" w:lineRule="auto"/>
      </w:pPr>
      <w:r>
        <w:rPr>
          <w:b/>
        </w:rPr>
        <w:t>Regola di sicurezza:</w:t>
      </w:r>
      <w:r>
        <w:t xml:space="preserve"> una grave incongruenza su integrità, titolarità dei risultati o disponibilità è motivo per fermarsi e approfondire, anche con un punteggio alto.</w:t>
      </w:r>
    </w:p>
    <w:p>
      <w:pPr>
        <w:pStyle w:val="Heading1"/>
      </w:pPr>
      <w:r>
        <w:t>6. Piano di prova di 30 giorni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4536"/>
        <w:gridCol w:w="3528"/>
      </w:tblGrid>
      <w:tr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SETTIMANA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COSA FARE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COME MISURARLO</w:t>
            </w:r>
          </w:p>
        </w:tc>
      </w:tr>
      <w:tr>
        <w:tc>
          <w:tcPr>
            <w:tcW w:type="dxa" w:w="12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453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Definire una priorità e il perimetro decisionale</w:t>
            </w:r>
          </w:p>
        </w:tc>
        <w:tc>
          <w:tcPr>
            <w:tcW w:type="dxa" w:w="35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Documento di obiettivo e impegni firmato</w:t>
            </w:r>
          </w:p>
        </w:tc>
      </w:tr>
      <w:tr>
        <w:tc>
          <w:tcPr>
            <w:tcW w:type="dxa" w:w="12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453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Consegnare un primo risultato concreto</w:t>
            </w:r>
          </w:p>
        </w:tc>
        <w:tc>
          <w:tcPr>
            <w:tcW w:type="dxa" w:w="35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Output verificabile e feedback scritto</w:t>
            </w:r>
          </w:p>
        </w:tc>
      </w:tr>
      <w:tr>
        <w:tc>
          <w:tcPr>
            <w:tcW w:type="dxa" w:w="12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453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Gestire deliberatamente un imprevisto</w:t>
            </w:r>
          </w:p>
        </w:tc>
        <w:tc>
          <w:tcPr>
            <w:tcW w:type="dxa" w:w="35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Capacità di confronto e correzione</w:t>
            </w:r>
          </w:p>
        </w:tc>
      </w:tr>
      <w:tr>
        <w:tc>
          <w:tcPr>
            <w:tcW w:type="dxa" w:w="129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4</w:t>
            </w:r>
          </w:p>
        </w:tc>
        <w:tc>
          <w:tcPr>
            <w:tcW w:type="dxa" w:w="453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Confronto su fatti, difficoltà e aspettative</w:t>
            </w:r>
          </w:p>
        </w:tc>
        <w:tc>
          <w:tcPr>
            <w:tcW w:type="dxa" w:w="35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Decisione: continuare, modificare, interrompere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MATCHING SOCIO–SOCIO  •  SEZIONE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imprendereora.com/" TargetMode="External"/><Relationship Id="rId12" Type="http://schemas.openxmlformats.org/officeDocument/2006/relationships/hyperlink" Target="https://garanteprivacy.it/web/guest/home/principi-fondamentali-del-trattamen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