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07 / MODELLO CONTRATTUALE</w:t>
      </w:r>
    </w:p>
    <w:p>
      <w:pPr>
        <w:pStyle w:val="Title"/>
        <w:keepNext w:val="0"/>
        <w:spacing w:before="0" w:after="100" w:line="259" w:lineRule="auto"/>
      </w:pPr>
      <w:r>
        <w:t>Accordo capitale + consulenza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Schema per distinguere investimento societario e apporto professionale di un socio-consulente.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BOZZA DA PERSONALIZZARE E SOTTOPORRE A UN AVVOCATO. Non firmare senza verificare forma societaria, parti, clausole e adempimenti.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Attenzione:</w:t>
            </w:r>
            <w:r>
              <w:t xml:space="preserve"> l’ingresso in società deve essere perfezionato con gli atti societari richiesti; la consulenza può avere forma, fiscalità e tutele diverse. Questo accordo non trasferisce di per sé quote e non sostituisce la documentazione societaria.</w:t>
            </w:r>
          </w:p>
        </w:tc>
      </w:tr>
    </w:tbl>
    <w:p>
      <w:pPr>
        <w:spacing w:after="0"/>
      </w:pPr>
    </w:p>
    <w:p>
      <w:pPr>
        <w:keepNext w:val="0"/>
        <w:spacing w:before="0" w:after="140" w:line="286" w:lineRule="auto"/>
      </w:pPr>
      <w:r>
        <w:rPr>
          <w:b/>
        </w:rPr>
        <w:t>Tra Società:</w:t>
      </w:r>
      <w:r>
        <w:t xml:space="preserve"> [denominazione, CF/P.IVA, sede, rappresentante] (“Società”) </w:t>
      </w:r>
      <w:r>
        <w:rPr>
          <w:b/>
        </w:rPr>
        <w:t>e Socio-consulente:</w:t>
      </w:r>
      <w:r>
        <w:t xml:space="preserve"> [nome, CF/P.IVA, residenza] (“Consulente”).</w:t>
      </w:r>
    </w:p>
    <w:p>
      <w:pPr>
        <w:pStyle w:val="Heading1"/>
      </w:pPr>
      <w:r>
        <w:t>SEZIONE A — Apporto di capitale (da perfezionare separatamente)</w:t>
      </w:r>
    </w:p>
    <w:p>
      <w:pPr>
        <w:pStyle w:val="Heading2"/>
      </w:pPr>
      <w:r>
        <w:t>A1. Tipo di operazione</w:t>
      </w:r>
    </w:p>
    <w:p>
      <w:pPr>
        <w:keepNext w:val="0"/>
        <w:spacing w:before="0" w:after="140" w:line="286" w:lineRule="auto"/>
      </w:pPr>
      <w:r>
        <w:t>☐ Aumento di capitale   ☐ Acquisto quote esistenti   ☐ Altro [____]. La scelta definitiva richiede verifica dello statuto, dei diritti dei soci e degli atti necessari.</w:t>
      </w:r>
    </w:p>
    <w:p>
      <w:pPr>
        <w:pStyle w:val="Heading2"/>
      </w:pPr>
      <w:r>
        <w:t>A2. Importo e valorizzazione</w:t>
      </w:r>
    </w:p>
    <w:p>
      <w:pPr>
        <w:keepNext w:val="0"/>
        <w:spacing w:before="0" w:after="140" w:line="286" w:lineRule="auto"/>
      </w:pPr>
      <w:r>
        <w:t xml:space="preserve">Importo previsto € [____]. Valutazione pre-money indicativa € [____]. Quota teorica post-investimento [____]%, </w:t>
      </w:r>
      <w:r>
        <w:rPr>
          <w:b/>
        </w:rPr>
        <w:t>soggetta</w:t>
      </w:r>
      <w:r>
        <w:t xml:space="preserve"> a cap table fully diluted, deliberazioni, atti e registrazioni.</w:t>
      </w:r>
    </w:p>
    <w:p>
      <w:pPr>
        <w:pStyle w:val="Heading2"/>
      </w:pPr>
      <w:r>
        <w:t>A3. Versamenti e closing</w:t>
      </w:r>
    </w:p>
    <w:p>
      <w:pPr>
        <w:keepNext w:val="0"/>
        <w:spacing w:before="0" w:after="140" w:line="286" w:lineRule="auto"/>
      </w:pPr>
      <w:r>
        <w:t>Data indicativa di closing [____]. Versamenti eseguiti esclusivamente a favore del soggetto legittimato e previa verifica dei documenti e delle causali concordate con notaio/commercialista. Nessun pagamento a ImprendereOra.</w:t>
      </w:r>
    </w:p>
    <w:p>
      <w:pPr>
        <w:pStyle w:val="Heading2"/>
      </w:pPr>
      <w:r>
        <w:t>A4. Governance e reporting</w:t>
      </w:r>
    </w:p>
    <w:p>
      <w:pPr>
        <w:keepNext w:val="0"/>
        <w:spacing w:before="0" w:after="140" w:line="286" w:lineRule="auto"/>
      </w:pPr>
      <w:r>
        <w:t>I diritti sociali derivano dagli atti societari e da eventuali patti validamente sottoscritti. Report: [mensile/trimestrale], metriche [____], referente [____].</w:t>
      </w:r>
    </w:p>
    <w:p>
      <w:pPr>
        <w:pStyle w:val="Heading1"/>
      </w:pPr>
      <w:r>
        <w:t>SEZIONE B — Prestazioni professionali</w:t>
      </w:r>
    </w:p>
    <w:p>
      <w:pPr>
        <w:pStyle w:val="Heading2"/>
      </w:pPr>
      <w:r>
        <w:t>B1. Oggetto e autonomia</w:t>
      </w:r>
    </w:p>
    <w:p>
      <w:pPr>
        <w:keepNext w:val="0"/>
        <w:spacing w:before="0" w:after="140" w:line="286" w:lineRule="auto"/>
      </w:pPr>
      <w:r>
        <w:t>Il Consulente presta supporto nelle aree [strategia / vendite / prodotto / finanza / altro] secondo le attività descritte in Allegato 1. Non assume automaticamente poteri di amministrazione, rappresentanza o firma.</w:t>
      </w:r>
    </w:p>
    <w:p>
      <w:pPr>
        <w:pStyle w:val="Heading2"/>
      </w:pPr>
      <w:r>
        <w:t>B2. Ore e calendario</w:t>
      </w:r>
    </w:p>
    <w:p>
      <w:pPr>
        <w:keepNext w:val="0"/>
        <w:spacing w:before="0" w:after="140" w:line="286" w:lineRule="auto"/>
      </w:pPr>
      <w:r>
        <w:t>Impegno stimato [__] ore al mese, di norma tramite [call / workshop / revisione documenti]. Pianificazione con almeno [__] giorni di preavviso. Le ore non utilizzate [non si cumulano / si cumulano con limite].</w:t>
      </w:r>
    </w:p>
    <w:p>
      <w:pPr>
        <w:pStyle w:val="Heading2"/>
      </w:pPr>
      <w:r>
        <w:t>B3. Durata</w:t>
      </w:r>
    </w:p>
    <w:p>
      <w:pPr>
        <w:keepNext w:val="0"/>
        <w:spacing w:before="0" w:after="140" w:line="286" w:lineRule="auto"/>
      </w:pPr>
      <w:r>
        <w:t>Dal [data] al [data], salvo proroga scritta. Riesame congiunto ogni [3] mesi; cessazione e preavviso pari a [__] giorni, salvo giusta causa nei limiti di legge.</w:t>
      </w:r>
    </w:p>
    <w:p>
      <w:pPr>
        <w:pStyle w:val="Heading2"/>
      </w:pPr>
      <w:r>
        <w:t>B4. Compenso e spese</w:t>
      </w:r>
    </w:p>
    <w:p>
      <w:pPr>
        <w:keepNext w:val="0"/>
        <w:spacing w:before="0" w:after="140" w:line="286" w:lineRule="auto"/>
      </w:pPr>
      <w:r>
        <w:t>☐ Compenso zero per le prestazioni   ☐ € [__] + imposte per mese   ☐ altro [____]. Eventuali rimborsi spese richiedono autorizzazione preventiva [____] e documentazione. Verificare inquadramento fiscale, previdenziale e IVA.</w:t>
      </w:r>
    </w:p>
    <w:p>
      <w:pPr>
        <w:pStyle w:val="Heading2"/>
      </w:pPr>
      <w:r>
        <w:t>B5. Obiettivi e misurazione</w:t>
      </w:r>
    </w:p>
    <w:p>
      <w:pPr>
        <w:keepNext w:val="0"/>
        <w:spacing w:before="0" w:after="140" w:line="286" w:lineRule="auto"/>
      </w:pPr>
      <w:r>
        <w:t xml:space="preserve">Output concreti: [es. piano commerciale, 2 incontri clienti/mese, revisione KPI]. I risultati commerciali e finanziari </w:t>
      </w:r>
      <w:r>
        <w:rPr>
          <w:b/>
        </w:rPr>
        <w:t>non sono garantiti</w:t>
      </w:r>
      <w:r>
        <w:t xml:space="preserve"> salvo specifici obblighi leciti e dettagliati.</w:t>
      </w:r>
    </w:p>
    <w:p>
      <w:pPr>
        <w:pStyle w:val="Heading2"/>
      </w:pPr>
      <w:r>
        <w:t>B6. Riservatezza e conflitti</w:t>
      </w:r>
    </w:p>
    <w:p>
      <w:pPr>
        <w:keepNext w:val="0"/>
        <w:spacing w:before="0" w:after="140" w:line="286" w:lineRule="auto"/>
      </w:pPr>
      <w:r>
        <w:t>NDA [data] / obblighi [____]. Il Consulente dichiara potenziali conflitti [____], non usa informazioni riservate a vantaggio di terzi e segnala possibili operazioni con parti correlate.</w:t>
      </w:r>
    </w:p>
    <w:p>
      <w:pPr>
        <w:pStyle w:val="Heading2"/>
      </w:pPr>
      <w:r>
        <w:t>B7. Proprietà intellettuale</w:t>
      </w:r>
    </w:p>
    <w:p>
      <w:pPr>
        <w:keepNext w:val="0"/>
        <w:spacing w:before="0" w:after="140" w:line="286" w:lineRule="auto"/>
      </w:pPr>
      <w:r>
        <w:t>Deliverable, materiali preesistenti, licenze e diritti di utilizzo sono disciplinati nell’Allegato 2. Nessuna cessione implicita di diritti non specificata in forma valida.</w:t>
      </w:r>
    </w:p>
    <w:p>
      <w:pPr>
        <w:pStyle w:val="Heading2"/>
      </w:pPr>
      <w:r>
        <w:t>B8. Dati e sicurezza</w:t>
      </w:r>
    </w:p>
    <w:p>
      <w:pPr>
        <w:keepNext w:val="0"/>
        <w:spacing w:before="0" w:after="140" w:line="286" w:lineRule="auto"/>
      </w:pPr>
      <w:r>
        <w:t>Accessi a sistemi e dati limitati al necessario; utilizzo di canali autorizzati; restituzione degli accessi a fine rapporto. Da verificare ruoli privacy e possibile nomina ex art. 28 GDPR, se ricorrono i presupposti.</w:t>
      </w:r>
    </w:p>
    <w:p>
      <w:pPr>
        <w:pStyle w:val="Heading2"/>
      </w:pPr>
      <w:r>
        <w:t>B9. Responsabilità e interruzione</w:t>
      </w:r>
    </w:p>
    <w:p>
      <w:pPr>
        <w:keepNext w:val="0"/>
        <w:spacing w:before="0" w:after="140" w:line="286" w:lineRule="auto"/>
      </w:pPr>
      <w:r>
        <w:t xml:space="preserve">Obbligo di diligenza professionale nella misura applicabile; eventuali limiti e rimedi devono essere negoziati nel rispetto di legge. La cessazione dei servizi </w:t>
      </w:r>
      <w:r>
        <w:rPr>
          <w:b/>
        </w:rPr>
        <w:t>non comporta automaticamente</w:t>
      </w:r>
      <w:r>
        <w:t xml:space="preserve"> il riacquisto delle quote.</w:t>
      </w:r>
    </w:p>
    <w:p>
      <w:pPr>
        <w:pStyle w:val="Heading2"/>
      </w:pPr>
      <w:r>
        <w:t>B10. Rapporto tra capitale e servizi</w:t>
      </w:r>
    </w:p>
    <w:p>
      <w:pPr>
        <w:keepNext w:val="0"/>
        <w:spacing w:before="0" w:after="140" w:line="286" w:lineRule="auto"/>
      </w:pPr>
      <w:r>
        <w:t>Quota, eventuale vesting, bonus equity, buon/cattivo uscente e condizioni di riacquisto non si presumono. Se desiderati, richiedono accordi societari separati e verificati da un legale.</w:t>
      </w:r>
    </w:p>
    <w:p>
      <w:pPr>
        <w:pStyle w:val="Heading1"/>
      </w:pPr>
      <w:r>
        <w:t>ALLEGATO 1 — Piano delle attività e timesheet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67"/>
        <w:gridCol w:w="3456"/>
        <w:gridCol w:w="1656"/>
        <w:gridCol w:w="2981"/>
      </w:tblGrid>
      <w:tr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Mese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Attività / deliverable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Ore previste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Ore effettuate / approvate</w:t>
            </w:r>
          </w:p>
        </w:tc>
      </w:tr>
      <w:tr>
        <w:tc>
          <w:tcPr>
            <w:tcW w:type="dxa" w:w="126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345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[________________________]</w:t>
            </w:r>
          </w:p>
        </w:tc>
        <w:tc>
          <w:tcPr>
            <w:tcW w:type="dxa" w:w="165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  <w:tc>
          <w:tcPr>
            <w:tcW w:type="dxa" w:w="298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</w:tr>
      <w:tr>
        <w:tc>
          <w:tcPr>
            <w:tcW w:type="dxa" w:w="126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345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[________________________]</w:t>
            </w:r>
          </w:p>
        </w:tc>
        <w:tc>
          <w:tcPr>
            <w:tcW w:type="dxa" w:w="165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  <w:tc>
          <w:tcPr>
            <w:tcW w:type="dxa" w:w="298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</w:tr>
      <w:tr>
        <w:tc>
          <w:tcPr>
            <w:tcW w:type="dxa" w:w="126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345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[________________________]</w:t>
            </w:r>
          </w:p>
        </w:tc>
        <w:tc>
          <w:tcPr>
            <w:tcW w:type="dxa" w:w="165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  <w:tc>
          <w:tcPr>
            <w:tcW w:type="dxa" w:w="298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</w:tr>
      <w:tr>
        <w:tc>
          <w:tcPr>
            <w:tcW w:type="dxa" w:w="1267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345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[________________________]</w:t>
            </w:r>
          </w:p>
        </w:tc>
        <w:tc>
          <w:tcPr>
            <w:tcW w:type="dxa" w:w="165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  <w:tc>
          <w:tcPr>
            <w:tcW w:type="dxa" w:w="2981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[__]</w:t>
            </w:r>
          </w:p>
        </w:tc>
      </w:tr>
    </w:tbl>
    <w:p>
      <w:pPr>
        <w:spacing w:after="0"/>
      </w:pPr>
    </w:p>
    <w:p>
      <w:pPr>
        <w:pStyle w:val="Heading1"/>
      </w:pPr>
      <w:r>
        <w:t>ALLEGATO 2 — Diritti su materiali e accessi</w:t>
      </w:r>
    </w:p>
    <w:p>
      <w:pPr>
        <w:keepNext w:val="0"/>
        <w:spacing w:before="0" w:after="140" w:line="286" w:lineRule="auto"/>
      </w:pPr>
      <w:r>
        <w:t>Materiali preesistenti del Consulente: [____________]. Deliverable soggetti a licenza/cessione: [____________]. Territorio, durata e modalità d’uso: [____________]. Account e documenti da restituire: [____________].</w:t>
      </w:r>
    </w:p>
    <w:p>
      <w:pPr>
        <w:pStyle w:val="Heading1"/>
      </w:pPr>
      <w:r>
        <w:t>Revisione e sottoscrizione</w:t>
      </w:r>
    </w:p>
    <w:p>
      <w:pPr>
        <w:keepNext w:val="0"/>
        <w:spacing w:before="0" w:after="140" w:line="274" w:lineRule="auto"/>
      </w:pPr>
      <w:r>
        <w:t>☐  Coerenza con statuto e atto di investimento.</w:t>
      </w:r>
    </w:p>
    <w:p>
      <w:pPr>
        <w:keepNext w:val="0"/>
        <w:spacing w:before="0" w:after="140" w:line="274" w:lineRule="auto"/>
      </w:pPr>
      <w:r>
        <w:t>☐  Ruolo del Consulente distinto da cariche di amministrazione e rapporti di lavoro.</w:t>
      </w:r>
    </w:p>
    <w:p>
      <w:pPr>
        <w:keepNext w:val="0"/>
        <w:spacing w:before="0" w:after="140" w:line="274" w:lineRule="auto"/>
      </w:pPr>
      <w:r>
        <w:t>☐  Compensi, fatturazione, trattamenti fiscali, proprietà intellettuale e privacy verificati.</w:t>
      </w:r>
    </w:p>
    <w:p>
      <w:pPr>
        <w:keepNext w:val="0"/>
        <w:spacing w:before="0" w:after="140" w:line="286" w:lineRule="auto"/>
      </w:pPr>
      <w:r>
        <w:rPr>
          <w:b/>
        </w:rPr>
        <w:t>Luogo / data:</w:t>
      </w:r>
      <w:r>
        <w:t xml:space="preserve"> 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SOCIETÀ</w:t>
            </w:r>
          </w:p>
        </w:tc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SOCIO-CONSULENTE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_________________________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Nome: _________________________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Nome: _________________________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Materiale operativo di carattere generale: non costituisce consulenza d’investimento, invito al pubblico risparmio, attività di intermediazione o garanzia di rendimento. Il modello contrattuale richiede una valutazione legale e fiscale prima dell’utilizzo.</w:t>
            </w:r>
          </w:p>
        </w:tc>
      </w:tr>
    </w:tbl>
    <w:p>
      <w:pPr>
        <w:spacing w:after="0"/>
      </w:pPr>
    </w:p>
    <w:p>
      <w:pPr>
        <w:pStyle w:val="Heading1"/>
      </w:pPr>
      <w:r>
        <w:t>Fonti e riferimenti di verifica</w:t>
      </w:r>
    </w:p>
    <w:p>
      <w:pPr>
        <w:keepNext w:val="0"/>
        <w:spacing w:before="0" w:after="80" w:line="286" w:lineRule="auto"/>
      </w:pPr>
      <w:r>
        <w:rPr>
          <w:sz w:val="16"/>
        </w:rPr>
        <w:t xml:space="preserve">•  Codice civile – società e obbligazioni — </w:t>
      </w:r>
      <w:hyperlink r:id="rId11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GDPR – Eur-Lex — </w:t>
      </w:r>
      <w:hyperlink r:id="rId12">
        <w:r>
          <w:rPr>
            <w:color w:val="0C8F8A"/>
            <w:u w:val="single"/>
          </w:rPr>
          <w:t>Apri fonte ufficiale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MICRO-ANGEL  •  SEZIONE 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ormattiva.it/atto/caricaDettaglioAtto?atto.codiceRedazionale=042U0262&amp;atto.dataPubblicazioneGazzetta=1942-04-04&amp;tipoDettaglio=vigente" TargetMode="External"/><Relationship Id="rId12" Type="http://schemas.openxmlformats.org/officeDocument/2006/relationships/hyperlink" Target="https://eur-lex.europa.eu/eli/reg/2016/679/oj/?locale=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