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INDICE OPERATIVO</w:t>
      </w:r>
    </w:p>
    <w:p>
      <w:pPr>
        <w:pStyle w:val="Title"/>
      </w:pPr>
      <w:r>
        <w:t>Kit Brand Storici</w:t>
      </w:r>
    </w:p>
    <w:p>
      <w:pPr>
        <w:pStyle w:val="Deck"/>
      </w:pPr>
      <w:r>
        <w:t>Sei strumenti per presentare, valutare e trasferire il patrimonio di un marchio con storia, preservando le informazioni riservate e la continuità del business.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Non tutti i brand con una storia sono “Marchi storici di interesse nazionale” iscritti al registro speciale. La denominazione Heritage è descrittiva del percorso ImprendereOra; non è un riconoscimento pubblico.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I 6 strumenti del 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3402"/>
        <w:gridCol w:w="515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Documento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Quando usarlo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01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Guida alla cessione o al rilancio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 scegliere l’operazione e preparare il percorso di vendita/ripartenza.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02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NDA specifico per la cessione d’azienda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Prima di condividere documenti non pubblici.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03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Scheda riservata del marchio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 presentare l’asset a un interlocutore selezionato.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04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Checklist due diligence marchio e azienda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 verificare titolarità, numeri, contratti e lavoratori.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05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Offerta indicativa non vincolante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 mettere per iscritto un interesse senza vendere/acquistare subito.</w:t>
            </w:r>
          </w:p>
        </w:tc>
      </w:tr>
      <w:tr>
        <w:trPr>
          <w:cantSplit/>
        </w:trPr>
        <w:tc>
          <w:tcPr>
            <w:tcW w:type="dxa" w:w="68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06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Guida al passaggio generazionale</w:t>
            </w:r>
          </w:p>
        </w:tc>
        <w:tc>
          <w:tcPr>
            <w:tcW w:type="dxa" w:w="515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 organizzare proprietà, guida e trasferimento del know-how.</w:t>
            </w:r>
          </w:p>
        </w:tc>
      </w:tr>
    </w:tbl>
    <w:p>
      <w:pPr>
        <w:pStyle w:val="Heading1"/>
      </w:pPr>
      <w:r>
        <w:t>Come utilizzare il materiale</w:t>
      </w:r>
    </w:p>
    <w:p>
      <w:pPr>
        <w:pStyle w:val="ListBullet"/>
        <w:ind w:left="255" w:hanging="125"/>
      </w:pPr>
      <w:r>
        <w:t>Scegli il perimetro: marchio singolo, ramo d’azienda, azienda intera o partecipazioni societarie.</w:t>
      </w:r>
    </w:p>
    <w:p>
      <w:pPr>
        <w:pStyle w:val="ListBullet"/>
        <w:ind w:left="255" w:hanging="125"/>
      </w:pPr>
      <w:r>
        <w:t>Prepara una scheda senza dati sensibili e condividi la versione riservata soltanto dopo verifica del destinatario e, ove opportuno, NDA.</w:t>
      </w:r>
    </w:p>
    <w:p>
      <w:pPr>
        <w:pStyle w:val="ListBullet"/>
        <w:ind w:left="255" w:hanging="125"/>
      </w:pPr>
      <w:r>
        <w:t>Raccogli prove e documenti nella checklist: ciò che non è documentato va registrato come “non verificato”.</w:t>
      </w:r>
    </w:p>
    <w:p>
      <w:pPr>
        <w:pStyle w:val="ListBullet"/>
        <w:ind w:left="255" w:hanging="125"/>
      </w:pPr>
      <w:r>
        <w:t>Fai revisionare NDA, offerta e assetto societario dai professionisti prima di firmare o assumere impegni.</w:t>
      </w:r>
    </w:p>
    <w:p>
      <w:pPr>
        <w:pStyle w:val="ListBullet"/>
        <w:ind w:left="255" w:hanging="125"/>
      </w:pPr>
      <w:r>
        <w:t>Condividi progressivamente: prima overview, poi dossier, infine data room con accessi nominativi.</w:t>
      </w:r>
    </w:p>
    <w:p>
      <w:pPr>
        <w:pStyle w:val="Heading1"/>
      </w:pPr>
      <w:r>
        <w:t>Livelli di condivisione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883"/>
        <w:gridCol w:w="3883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Livello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Contenuto ammesso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Da evitare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Pubblico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Settore, regione, storia in forma aggregata, opportunità ricercata.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Clienti nominativi, dati dipendenti, listini riservati, prove IP sensibili.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Riservato / NDA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Documenti sintetici, indicatori aggregati, dichiarazione del perimetro.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Credenziali, dati personali non necessari, documenti non pertinenti.</w:t>
            </w:r>
          </w:p>
        </w:tc>
      </w:tr>
      <w:tr>
        <w:trPr>
          <w:cantSplit/>
        </w:trPr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Due diligence autorizzata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Bilanci, registrazioni, contratti selezionati, dati minimizzati.</w:t>
            </w:r>
          </w:p>
        </w:tc>
        <w:tc>
          <w:tcPr>
            <w:tcW w:type="dxa" w:w="3883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Accesso indiscriminato a mailbox, anagrafiche o segreti industriali.</w:t>
            </w:r>
          </w:p>
        </w:tc>
      </w:tr>
    </w:tbl>
    <w:p>
      <w:pPr>
        <w:pStyle w:val="Heading1"/>
      </w:pPr>
      <w:r>
        <w:t>Avvertenze prima della pubblicazione commerciale</w:t>
      </w:r>
    </w:p>
    <w:p>
      <w:pPr>
        <w:spacing w:after="80"/>
      </w:pPr>
      <w:r>
        <w:t xml:space="preserve">☐  </w:t>
      </w:r>
      <w:r>
        <w:t>Sostituire eventuali segnaposto e verificare denominazioni, riferimenti e risultati del cliente.</w:t>
      </w:r>
    </w:p>
    <w:p>
      <w:pPr>
        <w:spacing w:after="80"/>
      </w:pPr>
      <w:r>
        <w:t xml:space="preserve">☐  </w:t>
      </w:r>
      <w:r>
        <w:t>Non indicare un brand come iscritto al Registro speciale dei marchi storici senza prova ufficiale.</w:t>
      </w:r>
    </w:p>
    <w:p>
      <w:pPr>
        <w:spacing w:after="80"/>
      </w:pPr>
      <w:r>
        <w:t xml:space="preserve">☐  </w:t>
      </w:r>
      <w:r>
        <w:t>Verificare con un professionista aspetti legali, fiscali e giuslavoristici dei casi concreti.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Brand Storici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