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keepNext w:val="0"/>
        <w:spacing w:before="240" w:after="80" w:line="286" w:lineRule="auto"/>
      </w:pPr>
      <w:r>
        <w:t>04 / MODELLO CONTRATTUALE</w:t>
      </w:r>
    </w:p>
    <w:p>
      <w:pPr>
        <w:pStyle w:val="Title"/>
        <w:keepNext w:val="0"/>
        <w:spacing w:before="0" w:after="100" w:line="259" w:lineRule="auto"/>
      </w:pPr>
      <w:r>
        <w:t>Accordo di collaborazione / Joint venture</w:t>
      </w:r>
    </w:p>
    <w:p>
      <w:pPr>
        <w:keepNext w:val="0"/>
        <w:spacing w:before="0" w:after="280" w:line="286" w:lineRule="auto"/>
      </w:pPr>
      <w:r>
        <w:rPr>
          <w:color w:val="627383"/>
          <w:sz w:val="21"/>
        </w:rPr>
        <w:t>Schema per un progetto comune tra due imprese o professionisti senza dare per costituita una società autonoma.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8"/>
              </w:rPr>
              <w:t>BOZZA DA PERSONALIZZARE E SOTTOPORRE A UN AVVOCATO. Non firmare senza verificare forma societaria, parti, clausole e adempimenti.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403"/>
            <w:shd w:fill="FFF2DA"/>
            <w:tcMar>
              <w:top w:w="130" w:type="dxa"/>
              <w:start w:w="150" w:type="dxa"/>
              <w:bottom w:w="125" w:type="dxa"/>
              <w:end w:w="15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b/>
                <w:sz w:val="18"/>
              </w:rPr>
              <w:t>Scenario di riferimento:</w:t>
            </w:r>
            <w:r>
              <w:t xml:space="preserve"> collaborazione contrattuale circoscritta, NON costituzione automatica di società. Se si vuole una newco, ATI, rete, consorzio o associazione in partecipazione, occorrono atti e valutazioni specifiche.</w:t>
            </w:r>
          </w:p>
        </w:tc>
      </w:tr>
    </w:tbl>
    <w:p>
      <w:pPr>
        <w:spacing w:after="0"/>
      </w:pPr>
    </w:p>
    <w:p>
      <w:pPr>
        <w:keepNext w:val="0"/>
        <w:spacing w:before="0" w:after="140" w:line="286" w:lineRule="auto"/>
      </w:pPr>
      <w:r>
        <w:rPr>
          <w:b/>
        </w:rPr>
        <w:t>Parte A:</w:t>
      </w:r>
      <w:r>
        <w:t xml:space="preserve"> [ragione sociale/nome, sede, CF/P.IVA, firmatario]; </w:t>
      </w:r>
      <w:r>
        <w:rPr>
          <w:b/>
        </w:rPr>
        <w:t>Parte B:</w:t>
      </w:r>
      <w:r>
        <w:t xml:space="preserve"> [____]. </w:t>
      </w:r>
      <w:r>
        <w:rPr>
          <w:b/>
        </w:rPr>
        <w:t>Progetto:</w:t>
      </w:r>
      <w:r>
        <w:t xml:space="preserve"> [____]. </w:t>
      </w:r>
      <w:r>
        <w:rPr>
          <w:b/>
        </w:rPr>
        <w:t>Data:</w:t>
      </w:r>
      <w:r>
        <w:t xml:space="preserve"> [____].</w:t>
      </w:r>
    </w:p>
    <w:p>
      <w:pPr>
        <w:pStyle w:val="Heading2"/>
      </w:pPr>
      <w:r>
        <w:t>1. Scopo e durata</w:t>
      </w:r>
    </w:p>
    <w:p>
      <w:pPr>
        <w:keepNext w:val="0"/>
        <w:spacing w:before="0" w:after="140" w:line="286" w:lineRule="auto"/>
      </w:pPr>
      <w:r>
        <w:t>Le Parti intendono sviluppare il progetto [____] per il mercato [____], dal [____] al [____], con eventuali rinnovi scritti. Ogni attività diversa dallo Scopo richiede un accordo aggiuntivo.</w:t>
      </w:r>
    </w:p>
    <w:p>
      <w:pPr>
        <w:pStyle w:val="Heading2"/>
      </w:pPr>
      <w:r>
        <w:t>2. Contributi e risorse</w:t>
      </w:r>
    </w:p>
    <w:p>
      <w:pPr>
        <w:keepNext w:val="0"/>
        <w:spacing w:before="0" w:after="140" w:line="286" w:lineRule="auto"/>
      </w:pPr>
      <w:r>
        <w:t>Parte A: personale [____], know-how [____], budget massimo €[____], strumenti [____]. Parte B: [____]. Elencare beni, licenze e costi sostenuti prima del progetto, evitando ambiguità sulla titolarità.</w:t>
      </w:r>
    </w:p>
    <w:p>
      <w:pPr>
        <w:pStyle w:val="Heading2"/>
      </w:pPr>
      <w:r>
        <w:t>3. Governance del progetto</w:t>
      </w:r>
    </w:p>
    <w:p>
      <w:pPr>
        <w:keepNext w:val="0"/>
        <w:spacing w:before="0" w:after="140" w:line="286" w:lineRule="auto"/>
      </w:pPr>
      <w:r>
        <w:t>Comitato operativo composto da [____]. Riunione [quindicinale], report [mensile]. Decisioni ordinarie entro budget da parte del responsabile [____]; modifiche di scopo, spesa o prezzo richiedono consenso scritto di entrambe le Parti.</w:t>
      </w:r>
    </w:p>
    <w:p>
      <w:pPr>
        <w:pStyle w:val="Heading2"/>
      </w:pPr>
      <w:r>
        <w:t>4. Budget, costi e fatture</w:t>
      </w:r>
    </w:p>
    <w:p>
      <w:pPr>
        <w:keepNext w:val="0"/>
        <w:spacing w:before="0" w:after="140" w:line="286" w:lineRule="auto"/>
      </w:pPr>
      <w:r>
        <w:t>Budget €[____], costi autorizzati [____]. Ciascuna Parte fattura le proprie prestazioni o si applica un piano di pagamento [allegato], dopo verifica del corretto trattamento fiscale. Nessuna ripartizione dell’utile equivale automaticamente a una forma societaria o fiscale specifica.</w:t>
      </w:r>
    </w:p>
    <w:p>
      <w:pPr>
        <w:pStyle w:val="Heading2"/>
      </w:pPr>
      <w:r>
        <w:t>5. Ricavi e commerciale</w:t>
      </w:r>
    </w:p>
    <w:p>
      <w:pPr>
        <w:keepNext w:val="0"/>
        <w:spacing w:before="0" w:after="140" w:line="286" w:lineRule="auto"/>
      </w:pPr>
      <w:r>
        <w:t>Chi contratta con il cliente finale: [____]. Chi emette fattura: [____]. Ripartizione economica [____], base di calcolo (ricavo incassato al netto di IVA, sconti, rimborsi, costi concordati) [____], rendicontazione e scadenza [____].</w:t>
      </w:r>
    </w:p>
    <w:p>
      <w:pPr>
        <w:pStyle w:val="Heading2"/>
      </w:pPr>
      <w:r>
        <w:t>6. Proprietà intellettuale preesistente</w:t>
      </w:r>
    </w:p>
    <w:p>
      <w:pPr>
        <w:keepNext w:val="0"/>
        <w:spacing w:before="0" w:after="140" w:line="286" w:lineRule="auto"/>
      </w:pPr>
      <w:r>
        <w:t>Gli asset preesistenti restano di proprietà del titolare. Ogni licenza concessa per il progetto precisa oggetto, durata, territorio, riuso, accessi e limiti. Nessun trasferimento implicito di marchi o codice.</w:t>
      </w:r>
    </w:p>
    <w:p>
      <w:pPr>
        <w:pStyle w:val="Heading2"/>
      </w:pPr>
      <w:r>
        <w:t>7. Risultati e nuove opere</w:t>
      </w:r>
    </w:p>
    <w:p>
      <w:pPr>
        <w:keepNext w:val="0"/>
        <w:spacing w:before="0" w:after="140" w:line="286" w:lineRule="auto"/>
      </w:pPr>
      <w:r>
        <w:t>Per software, database, contenuti e invenzioni creati insieme definire per iscritto titolarità, sfruttamento, modifiche, licenze a terzi e riutilizzo dopo la cessazione, tenendo conto degli eventuali diritti di dipendenti e fornitori.</w:t>
      </w:r>
    </w:p>
    <w:p>
      <w:pPr>
        <w:pStyle w:val="Heading2"/>
      </w:pPr>
      <w:r>
        <w:t>8. Clienti e riservatezza</w:t>
      </w:r>
    </w:p>
    <w:p>
      <w:pPr>
        <w:keepNext w:val="0"/>
        <w:spacing w:before="0" w:after="140" w:line="286" w:lineRule="auto"/>
      </w:pPr>
      <w:r>
        <w:t>Dati clienti, listini, piani, documenti e trattative rimangono riservati salvo eccezioni. L’accesso a banche dati personali avviene solo quando necessario, con ruoli privacy e misure di sicurezza documentate.</w:t>
      </w:r>
    </w:p>
    <w:p>
      <w:pPr>
        <w:pStyle w:val="Heading2"/>
      </w:pPr>
      <w:r>
        <w:t>9. Responsabilità e garanzie</w:t>
      </w:r>
    </w:p>
    <w:p>
      <w:pPr>
        <w:keepNext w:val="0"/>
        <w:spacing w:before="0" w:after="140" w:line="286" w:lineRule="auto"/>
      </w:pPr>
      <w:r>
        <w:t>Ciascuna Parte risponde per obbligazioni da essa assunte e proprie violazioni nei limiti di legge; eventuali massimali, indennizzi, assicurazioni e responsabilità verso terzi vanno definiti separatamente, senza escludere responsabilità inderogabili.</w:t>
      </w:r>
    </w:p>
    <w:p>
      <w:pPr>
        <w:pStyle w:val="Heading2"/>
      </w:pPr>
      <w:r>
        <w:t>10. Autonomia delle Parti</w:t>
      </w:r>
    </w:p>
    <w:p>
      <w:pPr>
        <w:keepNext w:val="0"/>
        <w:spacing w:before="0" w:after="140" w:line="286" w:lineRule="auto"/>
      </w:pPr>
      <w:r>
        <w:t>Il presente accordo non conferisce di per sé poteri di rappresentanza reciproca, né obbliga a costituire una nuova società. Nessuna Parte può assumere impegni in nome dell’altra senza autorizzazione scritta.</w:t>
      </w:r>
    </w:p>
    <w:p>
      <w:pPr>
        <w:pStyle w:val="Heading2"/>
      </w:pPr>
      <w:r>
        <w:t>11. Conflitti di interesse ed esclusiva</w:t>
      </w:r>
    </w:p>
    <w:p>
      <w:pPr>
        <w:keepNext w:val="0"/>
        <w:spacing w:before="0" w:after="140" w:line="286" w:lineRule="auto"/>
      </w:pPr>
      <w:r>
        <w:t>Eventuale esclusiva [nessuna / settore specifico ____ / durata ____], da verificare per legittimità e proporzionalità. Le Parti dichiarano rapporti potenzialmente confliggenti rilevanti per il progetto.</w:t>
      </w:r>
    </w:p>
    <w:p>
      <w:pPr>
        <w:pStyle w:val="Heading2"/>
      </w:pPr>
      <w:r>
        <w:t>12. Ritardi, correzioni e cambiamento</w:t>
      </w:r>
    </w:p>
    <w:p>
      <w:pPr>
        <w:keepNext w:val="0"/>
        <w:spacing w:before="0" w:after="140" w:line="286" w:lineRule="auto"/>
      </w:pPr>
      <w:r>
        <w:t>Milestone [allegato A]. Per ritardi rilevanti una Parte notifica criticità, piano di rimedio e data; variazioni economiche o tecniche hanno efficacia solo dopo approvazione scritta dei referenti autorizzati.</w:t>
      </w:r>
    </w:p>
    <w:p>
      <w:pPr>
        <w:pStyle w:val="Heading2"/>
      </w:pPr>
      <w:r>
        <w:t>13. Recesso, risoluzione e chiusura</w:t>
      </w:r>
    </w:p>
    <w:p>
      <w:pPr>
        <w:keepNext w:val="0"/>
        <w:spacing w:before="0" w:after="140" w:line="286" w:lineRule="auto"/>
      </w:pPr>
      <w:r>
        <w:t>Preavviso organizzativo [30] giorni per uscita ordinaria se concordata; contestazioni e rimedi per violazioni gravi [____]. Alla cessazione: gestione clienti, fatture, diritti IP, restituzione materiali, revoca degli accessi, pagamenti dovuti e comunicazioni al mercato.</w:t>
      </w:r>
    </w:p>
    <w:p>
      <w:pPr>
        <w:pStyle w:val="Heading2"/>
      </w:pPr>
      <w:r>
        <w:t>14. Legge applicabile e controversie</w:t>
      </w:r>
    </w:p>
    <w:p>
      <w:pPr>
        <w:keepNext w:val="0"/>
        <w:spacing w:before="0" w:after="140" w:line="286" w:lineRule="auto"/>
      </w:pPr>
      <w:r>
        <w:t>Legge italiana; tentativo di confronto tecnico entro [15] giorni e poi mediazione se pattuita, salva competenza del giudice applicabile. Eventuali deroghe o arbitrati richiedono verifica specifica.</w:t>
      </w:r>
    </w:p>
    <w:p>
      <w:pPr>
        <w:pStyle w:val="Heading1"/>
      </w:pPr>
      <w:r>
        <w:t>Allegato A — Piano operativo di progetto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4176"/>
      </w:tblGrid>
      <w:tr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Fase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Owner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Scadenza</w:t>
            </w:r>
          </w:p>
        </w:tc>
        <w:tc>
          <w:tcPr>
            <w:tcW w:type="dxa" w:w="235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Prova di completamento</w:t>
            </w:r>
          </w:p>
        </w:tc>
      </w:tr>
      <w:tr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Analisi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41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</w:tr>
      <w:tr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Pilot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41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</w:tr>
      <w:tr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Lancio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41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</w:tr>
      <w:tr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Riesame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1728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  <w:tc>
          <w:tcPr>
            <w:tcW w:type="dxa" w:w="4176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  <w:shd w:fill="F4F7F9"/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[____]</w:t>
            </w:r>
          </w:p>
        </w:tc>
      </w:tr>
    </w:tbl>
    <w:p>
      <w:pPr>
        <w:spacing w:after="0"/>
      </w:pPr>
    </w:p>
    <w:p>
      <w:pPr>
        <w:keepNext w:val="0"/>
        <w:spacing w:before="0" w:after="140" w:line="286" w:lineRule="auto"/>
      </w:pPr>
      <w:r>
        <w:rPr>
          <w:b/>
        </w:rPr>
        <w:t>Luogo/data:</w:t>
      </w:r>
      <w:r>
        <w:t xml:space="preserve"> [____________]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PARTE A</w:t>
            </w:r>
          </w:p>
        </w:tc>
        <w:tc>
          <w:tcPr>
            <w:tcW w:type="dxa" w:w="4701"/>
            <w:shd w:fill="142B3E"/>
            <w:tcMar>
              <w:top w:w="120" w:type="dxa"/>
              <w:start w:w="110" w:type="dxa"/>
              <w:bottom w:w="115" w:type="dxa"/>
              <w:end w:w="110" w:type="dxa"/>
            </w:tcMar>
          </w:tcPr>
          <w:p>
            <w:r>
              <w:rPr>
                <w:rFonts w:ascii="Lato" w:hAnsi="Lato"/>
                <w:b/>
                <w:color w:val="FFFFFF"/>
                <w:sz w:val="16"/>
              </w:rPr>
              <w:t>PARTE B</w:t>
            </w:r>
          </w:p>
        </w:tc>
      </w:tr>
      <w:tr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</w:t>
            </w:r>
          </w:p>
        </w:tc>
        <w:tc>
          <w:tcPr>
            <w:tcW w:type="dxa" w:w="4680"/>
            <w:vAlign w:val="center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keepNext w:val="0"/>
              <w:spacing w:before="0" w:after="0" w:line="274" w:lineRule="auto"/>
            </w:pPr>
            <w:r>
              <w:rPr>
                <w:sz w:val="16"/>
              </w:rPr>
              <w:t>Firma: ________________________</w:t>
            </w:r>
          </w:p>
        </w:tc>
      </w:tr>
    </w:tbl>
    <w:p>
      <w:pPr>
        <w:spacing w:after="0"/>
      </w:pPr>
    </w:p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9" w:h="16834"/>
      <w:pgMar w:top="1339" w:right="1253" w:bottom="1152" w:left="1253" w:header="475" w:footer="56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120" w:line="286" w:lineRule="auto"/>
    </w:pPr>
    <w:r>
      <w:rPr>
        <w:color w:val="627383"/>
        <w:sz w:val="14"/>
      </w:rPr>
      <w:t xml:space="preserve">imprendereora.com  |  Edizione 04.11.2026  •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80" w:line="286" w:lineRule="auto"/>
      <w:jc w:val="left"/>
      <w:pBdr>
        <w:bottom w:val="single" w:sz="8" w:color="DCE5EA"/>
      </w:pBdr>
    </w:pPr>
    <w:r>
      <w:rPr>
        <w:rFonts w:ascii="Lato" w:hAnsi="Lato"/>
        <w:b/>
        <w:color w:val="142B3E"/>
        <w:sz w:val="17"/>
      </w:rPr>
      <w:t>IMPRENDEREORA</w:t>
    </w:r>
    <w:r>
      <w:rPr>
        <w:color w:val="627383"/>
        <w:sz w:val="15"/>
      </w:rPr>
      <w:t xml:space="preserve">    /    MATCHING SOCIO–SOCIO  •  SEZIONE 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Lato" w:hAnsi="Lato"/>
      <w:color w:val="24334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Lato" w:hAnsi="Lato"/>
      <w:b/>
      <w:bCs/>
      <w:color w:val="142B3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Lato" w:hAnsi="Lato"/>
      <w:b/>
      <w:bCs/>
      <w:color w:val="142B3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80"/>
      <w:contextualSpacing/>
    </w:pPr>
    <w:rPr>
      <w:rFonts w:asciiTheme="majorHAnsi" w:eastAsiaTheme="majorEastAsia" w:hAnsiTheme="majorHAnsi" w:cstheme="majorBidi" w:ascii="Lato" w:hAnsi="Lato"/>
      <w:b/>
      <w:color w:val="142B3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rPr>
      <w:rFonts w:ascii="Lato" w:hAnsi="Lato"/>
      <w:b/>
      <w:color w:val="0C8F8A"/>
      <w:sz w:val="17"/>
    </w:rPr>
  </w:style>
  <w:style w:type="paragraph" w:customStyle="1" w:styleId="Smallish">
    <w:name w:val="Smallish"/>
    <w:rPr>
      <w:rFonts w:ascii="Lato" w:hAnsi="Lato"/>
      <w:color w:val="62738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normattiva.it/atto/caricaDettaglioAtto?atto.codiceRedazionale=042U0262&amp;atto.dataPubblicazioneGazzetta=1942-04-04&amp;tipoDettaglio=vigente" TargetMode="External"/><Relationship Id="rId12" Type="http://schemas.openxmlformats.org/officeDocument/2006/relationships/hyperlink" Target="https://eur-lex.europa.eu/eli/reg/2016/679/oj/?locale=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