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ptos" w:hAnsi="Aptos"/>
          <w:b/>
          <w:color w:val="267F82"/>
          <w:sz w:val="15"/>
        </w:rPr>
        <w:t>PRODOTTO 02 / GUIDA OPERATIVA</w:t>
      </w:r>
    </w:p>
    <w:p>
      <w:pPr>
        <w:pStyle w:val="Title"/>
      </w:pPr>
      <w:r>
        <w:t>Come gestire realmente una trattativa</w:t>
      </w:r>
    </w:p>
    <w:p>
      <w:pPr>
        <w:spacing w:after="260"/>
      </w:pPr>
      <w:r>
        <w:rPr>
          <w:rFonts w:ascii="Aptos" w:hAnsi="Aptos"/>
          <w:b w:val="0"/>
          <w:color w:val="596674"/>
          <w:sz w:val="20"/>
        </w:rPr>
        <w:t>Dalla prima conversazione a una decisione informata, senza pressioni o accordi improvvisati.</w:t>
      </w:r>
    </w:p>
    <w:p>
      <w:pPr>
        <w:widowControl/>
      </w:pPr>
      <w:r>
        <w:t>Una buona trattativa non nasce dalla capacità di “convincere”. Nasce dalla capacità di capire se l’operazione ha senso per entrambe le parti, definire il rischio e trasformare affermazioni in elementi verificabili. In questa guida “trattativa” include ingresso di un investitore, scelta di un socio operativo e collaborazione commerciale.</w:t>
      </w:r>
    </w:p>
    <w:p>
      <w:pPr>
        <w:pStyle w:val="Heading1"/>
      </w:pPr>
      <w:r>
        <w:t>1. Prima di parlare: prepara la tua posizione</w:t>
      </w:r>
    </w:p>
    <w:p>
      <w:pPr>
        <w:widowControl/>
      </w:pPr>
      <w:r>
        <w:t>Scrivi su una pagina cinque elementi, indipendentemente dal ruolo ricoperto:</w:t>
      </w:r>
    </w:p>
    <w:p>
      <w:pPr>
        <w:pStyle w:val="ListNumber"/>
        <w:spacing w:after="60"/>
      </w:pPr>
      <w:r>
        <w:t>Obiettivo: cosa vuoi ottenere concretamente e in quale orizzonte.</w:t>
      </w:r>
    </w:p>
    <w:p>
      <w:pPr>
        <w:pStyle w:val="ListNumber"/>
        <w:spacing w:after="60"/>
      </w:pPr>
      <w:r>
        <w:t>Contributo: capitale, competenze, clienti, tecnologia, lavoro operativo o asset, quantificati dove possibile.</w:t>
      </w:r>
    </w:p>
    <w:p>
      <w:pPr>
        <w:pStyle w:val="ListNumber"/>
        <w:spacing w:after="60"/>
      </w:pPr>
      <w:r>
        <w:t>Vincoli: tempo, denaro, responsabilità, grado di rischio e condizioni non negoziabili.</w:t>
      </w:r>
    </w:p>
    <w:p>
      <w:pPr>
        <w:pStyle w:val="ListNumber"/>
        <w:spacing w:after="60"/>
      </w:pPr>
      <w:r>
        <w:t>Alternative (BATNA): cosa farai se non raggiungi un accordo e a che costo.</w:t>
      </w:r>
    </w:p>
    <w:p>
      <w:pPr>
        <w:pStyle w:val="ListNumber"/>
        <w:spacing w:after="60"/>
      </w:pPr>
      <w:r>
        <w:t>Informazioni mancanti: quali prove ti servono prima di decidere.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8FAFA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D8E2E4" w:sz="8"/>
              <w:bottom w:val="single" w:color="D8E2E4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255E73"/>
                <w:sz w:val="18"/>
              </w:rPr>
              <w:t>Esempio di un limite credibile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«Posso valutare un investimento massimo di 20.000 euro, a condizione che vengano chiariti uso dei fondi, governance e informazioni sui debiti; in assenza di documenti preferisco non proseguire.»</w:t>
            </w:r>
          </w:p>
        </w:tc>
      </w:tr>
    </w:tbl>
    <w:p>
      <w:pPr>
        <w:spacing w:after="0"/>
      </w:pPr>
    </w:p>
    <w:p>
      <w:pPr>
        <w:pStyle w:val="Heading1"/>
      </w:pPr>
      <w:r>
        <w:t>2. Qualifica la controparte prima di discutere il prezzo</w:t>
      </w:r>
    </w:p>
    <w:p>
      <w:pPr>
        <w:widowControl/>
      </w:pPr>
      <w:r>
        <w:t>Un profilo curato non è una due diligence. Verifica identità professionale, ruolo, effettiva titolarità del progetto, motivazione e possibilità concreta di dare seguito alle proposte. Le prime domande devono essere semplici, ma discriminanti:</w:t>
      </w:r>
    </w:p>
    <w:p>
      <w:pPr>
        <w:pStyle w:val="ListBullet"/>
        <w:spacing w:after="60"/>
        <w:ind w:left="312" w:hanging="85"/>
      </w:pPr>
      <w:r>
        <w:t>Chi decide? Le persone presenti possono prendere decisioni oppure devono consultare soci, organi o familiari?</w:t>
      </w:r>
    </w:p>
    <w:p>
      <w:pPr>
        <w:pStyle w:val="ListBullet"/>
        <w:spacing w:after="60"/>
        <w:ind w:left="312" w:hanging="85"/>
      </w:pPr>
      <w:r>
        <w:t>Cosa vuole ottenere in modo misurabile nei prossimi 6–12 mesi?</w:t>
      </w:r>
    </w:p>
    <w:p>
      <w:pPr>
        <w:pStyle w:val="ListBullet"/>
        <w:spacing w:after="60"/>
        <w:ind w:left="312" w:hanging="85"/>
      </w:pPr>
      <w:r>
        <w:t>Perché cerca un socio o investitore adesso, anziché altre forme di finanziamento?</w:t>
      </w:r>
    </w:p>
    <w:p>
      <w:pPr>
        <w:pStyle w:val="ListBullet"/>
        <w:spacing w:after="60"/>
        <w:ind w:left="312" w:hanging="85"/>
      </w:pPr>
      <w:r>
        <w:t>Quale informazione verificabile potrebbe smentire la proposta?</w:t>
      </w:r>
    </w:p>
    <w:p>
      <w:pPr>
        <w:pStyle w:val="ListBullet"/>
        <w:spacing w:after="60"/>
        <w:ind w:left="312" w:hanging="85"/>
      </w:pPr>
      <w:r>
        <w:t>Quale contributo è richiesto e quali aspettative ci sono in cambio?</w:t>
      </w:r>
    </w:p>
    <w:p>
      <w:pPr>
        <w:pStyle w:val="Heading1"/>
      </w:pPr>
      <w:r>
        <w:t>3. Struttura il primo incontro (30 minuti)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2948"/>
        <w:gridCol w:w="5159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Minuti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Scopo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Domanda guida</w:t>
            </w:r>
          </w:p>
        </w:tc>
      </w:tr>
      <w:tr>
        <w:trPr>
          <w:cantSplit/>
        </w:trPr>
        <w:tc>
          <w:tcPr>
            <w:tcW w:type="dxa" w:w="124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0–5</w:t>
            </w:r>
          </w:p>
        </w:tc>
        <w:tc>
          <w:tcPr>
            <w:tcW w:type="dxa" w:w="294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Contesto e obiettivo</w:t>
            </w:r>
          </w:p>
        </w:tc>
        <w:tc>
          <w:tcPr>
            <w:tcW w:type="dxa" w:w="5159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«Cosa sarebbe utile capire oggi per entrambi?»</w:t>
            </w:r>
          </w:p>
        </w:tc>
      </w:tr>
      <w:tr>
        <w:trPr>
          <w:cantSplit/>
        </w:trPr>
        <w:tc>
          <w:tcPr>
            <w:tcW w:type="dxa" w:w="124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5–12</w:t>
            </w:r>
          </w:p>
        </w:tc>
        <w:tc>
          <w:tcPr>
            <w:tcW w:type="dxa" w:w="294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Problema e clienti</w:t>
            </w:r>
          </w:p>
        </w:tc>
        <w:tc>
          <w:tcPr>
            <w:tcW w:type="dxa" w:w="5159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«Quale evidenza dimostra che il problema è reale?»</w:t>
            </w:r>
          </w:p>
        </w:tc>
      </w:tr>
      <w:tr>
        <w:trPr>
          <w:cantSplit/>
        </w:trPr>
        <w:tc>
          <w:tcPr>
            <w:tcW w:type="dxa" w:w="124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12–20</w:t>
            </w:r>
          </w:p>
        </w:tc>
        <w:tc>
          <w:tcPr>
            <w:tcW w:type="dxa" w:w="294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Economia e contributi</w:t>
            </w:r>
          </w:p>
        </w:tc>
        <w:tc>
          <w:tcPr>
            <w:tcW w:type="dxa" w:w="5159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«Come entra il denaro? Quali costi e impegni contano?»</w:t>
            </w:r>
          </w:p>
        </w:tc>
      </w:tr>
      <w:tr>
        <w:trPr>
          <w:cantSplit/>
        </w:trPr>
        <w:tc>
          <w:tcPr>
            <w:tcW w:type="dxa" w:w="124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20–26</w:t>
            </w:r>
          </w:p>
        </w:tc>
        <w:tc>
          <w:tcPr>
            <w:tcW w:type="dxa" w:w="294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Rischi e punti aperti</w:t>
            </w:r>
          </w:p>
        </w:tc>
        <w:tc>
          <w:tcPr>
            <w:tcW w:type="dxa" w:w="5159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«Cosa potrebbe far fallire questo accordo?»</w:t>
            </w:r>
          </w:p>
        </w:tc>
      </w:tr>
      <w:tr>
        <w:trPr>
          <w:cantSplit/>
        </w:trPr>
        <w:tc>
          <w:tcPr>
            <w:tcW w:type="dxa" w:w="124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26–30</w:t>
            </w:r>
          </w:p>
        </w:tc>
        <w:tc>
          <w:tcPr>
            <w:tcW w:type="dxa" w:w="294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Decisione di processo</w:t>
            </w:r>
          </w:p>
        </w:tc>
        <w:tc>
          <w:tcPr>
            <w:tcW w:type="dxa" w:w="5159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«Qual è il prossimo passo e chi fa cosa entro quando?»</w:t>
            </w:r>
          </w:p>
        </w:tc>
      </w:tr>
    </w:tbl>
    <w:p>
      <w:pPr>
        <w:spacing w:after="0"/>
      </w:pPr>
    </w:p>
    <w:p>
      <w:pPr>
        <w:widowControl/>
      </w:pPr>
      <w:r>
        <w:t>Durante il colloquio separa le affermazioni dai fatti. «Abbiamo un mercato enorme» è un’ipotesi; «abbiamo 38 clienti paganti nell’ultimo trimestre» è una dichiarazione verificabile con documenti.</w:t>
      </w:r>
    </w:p>
    <w:p>
      <w:pPr>
        <w:pStyle w:val="Heading1"/>
      </w:pPr>
      <w:r>
        <w:t>4. Ascolto e obiezioni: rispondi senza difenderti</w:t>
      </w:r>
    </w:p>
    <w:p>
      <w:pPr>
        <w:widowControl/>
      </w:pPr>
      <w:r>
        <w:t>Quando senti «la valutazione è alta», «non c’è abbastanza tempo» oppure «non conosco il settore», non contrattaccare. Segui una sequenza di quattro passaggi:</w:t>
      </w:r>
    </w:p>
    <w:p>
      <w:pPr>
        <w:pStyle w:val="ListBullet"/>
        <w:spacing w:after="60"/>
        <w:ind w:left="312" w:hanging="85"/>
      </w:pPr>
      <w:r>
        <w:t>Riformula: «Se capisco bene, il rischio principale per lei è…».</w:t>
      </w:r>
    </w:p>
    <w:p>
      <w:pPr>
        <w:pStyle w:val="ListBullet"/>
        <w:spacing w:after="60"/>
        <w:ind w:left="312" w:hanging="85"/>
      </w:pPr>
      <w:r>
        <w:t>Chiedi criterio: «Con quali dati valuterebbe superato quel rischio?».</w:t>
      </w:r>
    </w:p>
    <w:p>
      <w:pPr>
        <w:pStyle w:val="ListBullet"/>
        <w:spacing w:after="60"/>
        <w:ind w:left="312" w:hanging="85"/>
      </w:pPr>
      <w:r>
        <w:t>Porta evidenza: documenti, scenario prudente, esempio di cliente, confronto con alternative.</w:t>
      </w:r>
    </w:p>
    <w:p>
      <w:pPr>
        <w:pStyle w:val="ListBullet"/>
        <w:spacing w:after="60"/>
        <w:ind w:left="312" w:hanging="85"/>
      </w:pPr>
      <w:r>
        <w:t>Decidi: accettare la critica, proporre una condizione di verifica oppure rinunciare.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ESEMPIO: OBIEZIONE SULLA VALUTAZIONE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Investitore: «A questa valutazione il rischio è troppo elevato». Founder: «Capisco. Quale ipotesi ritiene meno solida: ricavi, margini o ritmo di crescita? Le posso mostrare tre scenari e ragionare sulla struttura dell’operazione, senza forzare una cifra oggi».</w:t>
            </w:r>
          </w:p>
        </w:tc>
      </w:tr>
    </w:tbl>
    <w:p>
      <w:pPr>
        <w:spacing w:after="0"/>
      </w:pPr>
    </w:p>
    <w:p>
      <w:pPr>
        <w:pStyle w:val="Heading1"/>
      </w:pPr>
      <w:r>
        <w:t>5. Negozia il pacchetto, non una sola percentuale</w:t>
      </w:r>
    </w:p>
    <w:p>
      <w:pPr>
        <w:widowControl/>
      </w:pPr>
      <w:r>
        <w:t>Una trattativa societaria comprende più del prezzo. Anche un accordo su una quota apparentemente favorevole può essere sbilanciato se ruoli, liquidità futura e decisioni rimangono poco chiari.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4025"/>
        <w:gridCol w:w="3685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Variabile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Da chiarire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Esempio di criterio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Struttura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Acquisto quote, aumento capitale, altra forma</w:t>
            </w:r>
          </w:p>
        </w:tc>
        <w:tc>
          <w:tcPr>
            <w:tcW w:type="dxa" w:w="368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Denaro alla società o al venditore?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Prezzo e quote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Valutazione prima/dopo investimento, diluizione</w:t>
            </w:r>
          </w:p>
        </w:tc>
        <w:tc>
          <w:tcPr>
            <w:tcW w:type="dxa" w:w="368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Cap table prima e dopo l’operazione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Governance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Decisioni riservate, voto, informativa</w:t>
            </w:r>
          </w:p>
        </w:tc>
        <w:tc>
          <w:tcPr>
            <w:tcW w:type="dxa" w:w="368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Quali decisioni richiedono consenso?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Contributo operativo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Ore, attività, risultati, compenso</w:t>
            </w:r>
          </w:p>
        </w:tc>
        <w:tc>
          <w:tcPr>
            <w:tcW w:type="dxa" w:w="368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Deliverable trimestrali, no promesse vaghe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Protezione e uscita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Trasferimento quote, tag/drag, prelazione</w:t>
            </w:r>
          </w:p>
        </w:tc>
        <w:tc>
          <w:tcPr>
            <w:tcW w:type="dxa" w:w="368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Evento, metodo di prezzo e tempi</w:t>
            </w:r>
          </w:p>
        </w:tc>
      </w:tr>
      <w:tr>
        <w:trPr>
          <w:cantSplit/>
        </w:trPr>
        <w:tc>
          <w:tcPr>
            <w:tcW w:type="dxa" w:w="1701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Condizioni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Documenti, autorizzazioni, verifiche</w:t>
            </w:r>
          </w:p>
        </w:tc>
        <w:tc>
          <w:tcPr>
            <w:tcW w:type="dxa" w:w="368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Condizioni sospensive circoscritte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8FAFA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D8E2E4" w:sz="8"/>
              <w:bottom w:val="single" w:color="D8E2E4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255E73"/>
                <w:sz w:val="18"/>
              </w:rPr>
              <w:t>Calcolo da saper leggere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Esempio illustrativo: 50.000 € investiti in aumento di capitale su una valutazione pre-money di 450.000 € implicano 500.000 € post-money e, senza altre complessità, una quota del 10% per il nuovo investitore. Quote precedenti, strumenti convertibili, aumento riservato e diritti speciali possono modificare il risultato.</w:t>
            </w:r>
          </w:p>
        </w:tc>
      </w:tr>
    </w:tbl>
    <w:p>
      <w:pPr>
        <w:spacing w:after="0"/>
      </w:pPr>
    </w:p>
    <w:p>
      <w:pPr>
        <w:pStyle w:val="Heading1"/>
      </w:pPr>
      <w:r>
        <w:t>6. Come gestire concessioni e ancoraggi</w:t>
      </w:r>
    </w:p>
    <w:p>
      <w:pPr>
        <w:pStyle w:val="ListBullet"/>
        <w:spacing w:after="60"/>
        <w:ind w:left="312" w:hanging="85"/>
      </w:pPr>
      <w:r>
        <w:t>Non fissare una valutazione senza chiarire la struttura dell’operazione e i dati alla base.</w:t>
      </w:r>
    </w:p>
    <w:p>
      <w:pPr>
        <w:pStyle w:val="ListBullet"/>
        <w:spacing w:after="60"/>
        <w:ind w:left="312" w:hanging="85"/>
      </w:pPr>
      <w:r>
        <w:t>Distingui bisogni (liquidità, competenze, controllo) da posizioni («voglio il 30%»).</w:t>
      </w:r>
    </w:p>
    <w:p>
      <w:pPr>
        <w:pStyle w:val="ListBullet"/>
        <w:spacing w:after="60"/>
        <w:ind w:left="312" w:hanging="85"/>
      </w:pPr>
      <w:r>
        <w:t>Non offrire concessioni senza contropartita: es. più diritti informativi in cambio di un calendario preciso per la due diligence.</w:t>
      </w:r>
    </w:p>
    <w:p>
      <w:pPr>
        <w:pStyle w:val="ListBullet"/>
        <w:spacing w:after="60"/>
        <w:ind w:left="312" w:hanging="85"/>
      </w:pPr>
      <w:r>
        <w:t>Usa intervalli e condizioni quando la conoscenza è incompleta, dichiarando cosa potrebbe far cambiare i numeri.</w:t>
      </w:r>
    </w:p>
    <w:p>
      <w:pPr>
        <w:pStyle w:val="ListBullet"/>
        <w:spacing w:after="60"/>
        <w:ind w:left="312" w:hanging="85"/>
      </w:pPr>
      <w:r>
        <w:t>Prenditi tempo: nessuna decisione critica va presa per evitare un imbarazzo in riunione.</w:t>
      </w:r>
    </w:p>
    <w:p>
      <w:pPr>
        <w:pStyle w:val="Heading1"/>
      </w:pPr>
      <w:r>
        <w:t>7. Dati e documenti: condividi per fasi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4025"/>
        <w:gridCol w:w="3628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Fase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Materiale adeguato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Non ancora</w:t>
            </w:r>
          </w:p>
        </w:tc>
      </w:tr>
      <w:tr>
        <w:trPr>
          <w:cantSplit/>
        </w:trPr>
        <w:tc>
          <w:tcPr>
            <w:tcW w:type="dxa" w:w="175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Primo contatto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Teaser non riservato, settore, obiettivo, fasce</w:t>
            </w:r>
          </w:p>
        </w:tc>
        <w:tc>
          <w:tcPr>
            <w:tcW w:type="dxa" w:w="362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Credenziali, anagrafiche clienti, segreti, dati bancari</w:t>
            </w:r>
          </w:p>
        </w:tc>
      </w:tr>
      <w:tr>
        <w:trPr>
          <w:cantSplit/>
        </w:trPr>
        <w:tc>
          <w:tcPr>
            <w:tcW w:type="dxa" w:w="175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Interesse qualificato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Pitch, dati aggregati, business plan sintetico</w:t>
            </w:r>
          </w:p>
        </w:tc>
        <w:tc>
          <w:tcPr>
            <w:tcW w:type="dxa" w:w="362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Elenco nominativo clienti o contratti completi senza necessità</w:t>
            </w:r>
          </w:p>
        </w:tc>
      </w:tr>
      <w:tr>
        <w:trPr>
          <w:cantSplit/>
        </w:trPr>
        <w:tc>
          <w:tcPr>
            <w:tcW w:type="dxa" w:w="1757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Approfondimento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Bilanci, cap table, documenti pertinenti secondo accessi controllati</w:t>
            </w:r>
          </w:p>
        </w:tc>
        <w:tc>
          <w:tcPr>
            <w:tcW w:type="dxa" w:w="362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Invii indiscriminati o senza traccia del destinatario</w:t>
            </w:r>
          </w:p>
        </w:tc>
      </w:tr>
      <w:tr>
        <w:trPr>
          <w:cantSplit/>
        </w:trPr>
        <w:tc>
          <w:tcPr>
            <w:tcW w:type="dxa" w:w="1757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Due diligence</w:t>
            </w:r>
          </w:p>
        </w:tc>
        <w:tc>
          <w:tcPr>
            <w:tcW w:type="dxa" w:w="402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Documenti completi necessari, con professionisti e tutele</w:t>
            </w:r>
          </w:p>
        </w:tc>
        <w:tc>
          <w:tcPr>
            <w:tcW w:type="dxa" w:w="362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Dati personali eccedenti, condivisione non autorizzata</w:t>
            </w:r>
          </w:p>
        </w:tc>
      </w:tr>
    </w:tbl>
    <w:p>
      <w:pPr>
        <w:spacing w:after="0"/>
      </w:pPr>
    </w:p>
    <w:p>
      <w:pPr>
        <w:widowControl/>
      </w:pPr>
      <w:r>
        <w:t>Un NDA può aiutare a proteggere informazioni non pubbliche, ma non elimina i rischi e non sostituisce sicurezza degli accessi, minimizzazione dei dati e una verifica della controparte.</w:t>
      </w:r>
    </w:p>
    <w:p>
      <w:pPr>
        <w:pStyle w:val="Heading1"/>
      </w:pPr>
      <w:r>
        <w:t>8. I segnali d’allarme che richiedono uno stop</w:t>
      </w:r>
    </w:p>
    <w:p>
      <w:pPr>
        <w:pStyle w:val="ListBullet"/>
        <w:spacing w:after="60"/>
        <w:ind w:left="312" w:hanging="85"/>
      </w:pPr>
      <w:r>
        <w:t>Pressioni per pagamenti anticipati, commissioni di sblocco o investimenti “garantiti”.</w:t>
      </w:r>
    </w:p>
    <w:p>
      <w:pPr>
        <w:pStyle w:val="ListBullet"/>
        <w:spacing w:after="60"/>
        <w:ind w:left="312" w:hanging="85"/>
      </w:pPr>
      <w:r>
        <w:t>Rifiuto persistente di chiarire identità, poteri di firma, debiti o titolarità delle quote.</w:t>
      </w:r>
    </w:p>
    <w:p>
      <w:pPr>
        <w:pStyle w:val="ListBullet"/>
        <w:spacing w:after="60"/>
        <w:ind w:left="312" w:hanging="85"/>
      </w:pPr>
      <w:r>
        <w:t>Numeri che cambiano tra un documento e l’altro senza riconciliazione.</w:t>
      </w:r>
    </w:p>
    <w:p>
      <w:pPr>
        <w:pStyle w:val="ListBullet"/>
        <w:spacing w:after="60"/>
        <w:ind w:left="312" w:hanging="85"/>
      </w:pPr>
      <w:r>
        <w:t>Richieste di uscire subito dalla messaggistica protetta o di condividere recapiti vietati.</w:t>
      </w:r>
    </w:p>
    <w:p>
      <w:pPr>
        <w:pStyle w:val="ListBullet"/>
        <w:spacing w:after="60"/>
        <w:ind w:left="312" w:hanging="85"/>
      </w:pPr>
      <w:r>
        <w:t>Richiesta di firmare accordi immediatamente, senza copia e senza possibilità di consulenza.</w:t>
      </w:r>
    </w:p>
    <w:p>
      <w:pPr>
        <w:pStyle w:val="ListBullet"/>
        <w:spacing w:after="60"/>
        <w:ind w:left="312" w:hanging="85"/>
      </w:pPr>
      <w:r>
        <w:t>Proposte di lavoro operativo indeterminato in cambio di quote mai definite.</w:t>
      </w:r>
    </w:p>
    <w:p>
      <w:pPr>
        <w:pStyle w:val="ListBullet"/>
        <w:spacing w:after="60"/>
        <w:ind w:left="312" w:hanging="85"/>
      </w:pPr>
      <w:r>
        <w:t>Affidamento su rendimenti certi, certificazioni inventate o titoli non verificabili.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CF6F0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C28A57" w:sz="8"/>
              <w:bottom w:val="single" w:color="C28A57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94613C"/>
                <w:sz w:val="18"/>
              </w:rPr>
              <w:t>Se emergono segnali d’allarme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Interrompi la condivisione di informazioni e non effettuare versamenti. Conserva gli elementi già presenti nella piattaforma e usa i canali di segnalazione previsti.</w:t>
            </w:r>
          </w:p>
        </w:tc>
      </w:tr>
    </w:tbl>
    <w:p>
      <w:pPr>
        <w:spacing w:after="0"/>
      </w:pPr>
    </w:p>
    <w:p>
      <w:pPr>
        <w:pStyle w:val="Heading1"/>
      </w:pPr>
      <w:r>
        <w:t>9. Dal confronto alla decisione: 6 passaggi</w:t>
      </w:r>
    </w:p>
    <w:p>
      <w:pPr>
        <w:pStyle w:val="ListBullet"/>
        <w:spacing w:after="60"/>
        <w:ind w:left="312" w:hanging="85"/>
      </w:pPr>
      <w:r>
        <w:t>Riepilogo scritto senza attribuire impegni che non esistono.</w:t>
      </w:r>
    </w:p>
    <w:p>
      <w:pPr>
        <w:pStyle w:val="ListBullet"/>
        <w:spacing w:after="60"/>
        <w:ind w:left="312" w:hanging="85"/>
      </w:pPr>
      <w:r>
        <w:t>Elenco documenti da fornire, con responsabile, formato e data.</w:t>
      </w:r>
    </w:p>
    <w:p>
      <w:pPr>
        <w:pStyle w:val="ListBullet"/>
        <w:spacing w:after="60"/>
        <w:ind w:left="312" w:hanging="85"/>
      </w:pPr>
      <w:r>
        <w:t>Secondo incontro dedicato alle divergenze principali, non alla ripetizione del pitch.</w:t>
      </w:r>
    </w:p>
    <w:p>
      <w:pPr>
        <w:pStyle w:val="ListBullet"/>
        <w:spacing w:after="60"/>
        <w:ind w:left="312" w:hanging="85"/>
      </w:pPr>
      <w:r>
        <w:t>Scelta della struttura (capitale, quote, collaborazione) e prime condizioni, con supporto professionale.</w:t>
      </w:r>
    </w:p>
    <w:p>
      <w:pPr>
        <w:pStyle w:val="ListBullet"/>
        <w:spacing w:after="60"/>
        <w:ind w:left="312" w:hanging="85"/>
      </w:pPr>
      <w:r>
        <w:t>Due diligence proporzionata e verifica dei poteri/consensi necessari.</w:t>
      </w:r>
    </w:p>
    <w:p>
      <w:pPr>
        <w:pStyle w:val="ListBullet"/>
        <w:spacing w:after="60"/>
        <w:ind w:left="312" w:hanging="85"/>
      </w:pPr>
      <w:r>
        <w:t>Decisione esplicita: procedere a contrattualizzazione, rinviare con condizioni o chiudere.</w:t>
      </w:r>
    </w:p>
    <w:p>
      <w:pPr>
        <w:pStyle w:val="Heading1"/>
      </w:pPr>
      <w:r>
        <w:t>10. Quando non trovare un accordo è il risultato corretto</w:t>
      </w:r>
    </w:p>
    <w:p>
      <w:pPr>
        <w:widowControl/>
      </w:pPr>
      <w:r>
        <w:t>Una trattativa ben condotta può terminare con un no. È preferibile chiudere quando valori, tempi, disponibilità finanziaria o diritti di controllo sono incompatibili, anche se la relazione personale è positiva. Scrivi perché non si procede; restituisci o gestisci le informazioni riservate secondo gli eventuali obblighi concordati.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EFF4F5"/>
            <w:tcMar>
              <w:top w:w="160" w:type="dxa"/>
              <w:start w:w="220" w:type="dxa"/>
              <w:bottom w:w="145" w:type="dxa"/>
              <w:end w:w="220" w:type="dxa"/>
            </w:tcMar>
            <w:tcBorders>
              <w:left w:val="single" w:color="267F82" w:sz="25"/>
            </w:tcBorders>
          </w:tcPr>
          <w:p>
            <w:pPr>
              <w:spacing w:after="100"/>
            </w:pPr>
            <w:r>
              <w:rPr>
                <w:rFonts w:ascii="Aptos" w:hAnsi="Aptos"/>
                <w:b/>
                <w:color w:val="267F82"/>
                <w:sz w:val="15"/>
              </w:rPr>
              <w:t>MESSAGGIO DI CHIUSURA PROFESSIONALE</w:t>
            </w:r>
          </w:p>
          <w:p>
            <w:pPr>
              <w:spacing w:line="283" w:lineRule="auto" w:after="0"/>
            </w:pPr>
            <w:r>
              <w:rPr>
                <w:rFonts w:ascii="Aptos" w:hAnsi="Aptos"/>
                <w:b w:val="0"/>
                <w:color w:val="18364A"/>
                <w:sz w:val="18"/>
              </w:rPr>
              <w:t>Grazie per il confronto e per la documentazione condivisa. Sulla base delle informazioni oggi disponibili non vediamo un allineamento sufficiente su [elemento]. Preferiamo quindi non proseguire con l’operazione. Restano fermi gli eventuali obblighi di riservatezza già assunti. Vi auguriamo buon lavoro.</w:t>
            </w:r>
          </w:p>
        </w:tc>
      </w:tr>
    </w:tbl>
    <w:p>
      <w:pPr>
        <w:spacing w:after="0"/>
      </w:pPr>
    </w:p>
    <w:p>
      <w:pPr>
        <w:pStyle w:val="Heading1"/>
      </w:pPr>
      <w:r>
        <w:t>Scheda rapida per preparare la prossima trattativa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Obiettivo minimo e risultato ideale  </w:t>
      </w:r>
      <w:r>
        <w:rPr>
          <w:rFonts w:ascii="Aptos" w:hAnsi="Aptos"/>
          <w:b w:val="0"/>
          <w:color w:val="596674"/>
          <w:sz w:val="18"/>
        </w:rPr>
        <w:t>_________________________________________________________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Alternative realistiche se non si firma  </w:t>
      </w:r>
      <w:r>
        <w:rPr>
          <w:rFonts w:ascii="Aptos" w:hAnsi="Aptos"/>
          <w:b w:val="0"/>
          <w:color w:val="596674"/>
          <w:sz w:val="18"/>
        </w:rPr>
        <w:t>_________________________________________________________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Tre domande non ancora risolte  </w:t>
      </w:r>
      <w:r>
        <w:rPr>
          <w:rFonts w:ascii="Aptos" w:hAnsi="Aptos"/>
          <w:b w:val="0"/>
          <w:color w:val="596674"/>
          <w:sz w:val="18"/>
        </w:rPr>
        <w:t>_________________________________________________________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Tre documenti da verificare  </w:t>
      </w:r>
      <w:r>
        <w:rPr>
          <w:rFonts w:ascii="Aptos" w:hAnsi="Aptos"/>
          <w:b w:val="0"/>
          <w:color w:val="596674"/>
          <w:sz w:val="18"/>
        </w:rPr>
        <w:t>_________________________________________________________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Condizioni che impongono uno stop  </w:t>
      </w:r>
      <w:r>
        <w:rPr>
          <w:rFonts w:ascii="Aptos" w:hAnsi="Aptos"/>
          <w:b w:val="0"/>
          <w:color w:val="596674"/>
          <w:sz w:val="18"/>
        </w:rPr>
        <w:t>_________________________________________________________</w:t>
      </w:r>
    </w:p>
    <w:p>
      <w:pPr>
        <w:spacing w:before="60" w:after="140"/>
      </w:pPr>
      <w:r>
        <w:rPr>
          <w:rFonts w:ascii="Aptos" w:hAnsi="Aptos"/>
          <w:b/>
          <w:color w:val="18364A"/>
          <w:sz w:val="18"/>
        </w:rPr>
        <w:t xml:space="preserve">Responsabile del prossimo passo e scadenza  </w:t>
      </w:r>
      <w:r>
        <w:rPr>
          <w:rFonts w:ascii="Aptos" w:hAnsi="Aptos"/>
          <w:b w:val="0"/>
          <w:color w:val="596674"/>
          <w:sz w:val="18"/>
        </w:rPr>
        <w:t>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fill="F8FAFA"/>
            <w:tcMar>
              <w:top w:w="130" w:type="dxa"/>
              <w:start w:w="175" w:type="dxa"/>
              <w:bottom w:w="120" w:type="dxa"/>
              <w:end w:w="175" w:type="dxa"/>
            </w:tcMar>
            <w:tcBorders>
              <w:top w:val="single" w:color="D8E2E4" w:sz="8"/>
              <w:bottom w:val="single" w:color="D8E2E4" w:sz="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255E73"/>
                <w:sz w:val="18"/>
              </w:rPr>
              <w:t>Nota sulla natura dei materiali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color w:val="18364A"/>
                <w:sz w:val="17"/>
              </w:rPr>
              <w:t>Esempi e calcoli sono illustrativi. L’effettivo trasferimento di quote, l’aumento di capitale o altri atti societari possono richiedere formalità, atti e professionisti. La guida non sostituisce verifica legale, fiscale o finanziaria.</w:t>
            </w:r>
          </w:p>
        </w:tc>
      </w:tr>
    </w:tbl>
    <w:p>
      <w:pPr>
        <w:spacing w:after="0"/>
      </w:pPr>
    </w:p>
    <w:p>
      <w:pPr>
        <w:pStyle w:val="Heading1"/>
      </w:pPr>
      <w:r>
        <w:t>Scheda operativa: confronta due proposte senza confonderle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2778"/>
        <w:gridCol w:w="2778"/>
      </w:tblGrid>
      <w:tr>
        <w:trPr>
          <w:tblHeader w:val="true"/>
          <w:cantSplit/>
        </w:trPr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Voce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Proposta A</w:t>
            </w:r>
          </w:p>
        </w:tc>
        <w:tc>
          <w:tcPr>
            <w:tcW w:type="dxa" w:w="3137"/>
            <w:shd w:fill="18364A"/>
            <w:tcMar>
              <w:top w:w="100" w:type="dxa"/>
              <w:start w:w="100" w:type="dxa"/>
              <w:bottom w:w="95" w:type="dxa"/>
              <w:end w:w="100" w:type="dxa"/>
            </w:tcMar>
          </w:tcPr>
          <w:p>
            <w:r>
              <w:rPr>
                <w:rFonts w:ascii="Aptos" w:hAnsi="Aptos"/>
                <w:b/>
                <w:color w:val="FFFFFF"/>
                <w:sz w:val="16"/>
              </w:rPr>
              <w:t>Proposta B</w:t>
            </w:r>
          </w:p>
        </w:tc>
      </w:tr>
      <w:tr>
        <w:trPr>
          <w:cantSplit/>
        </w:trPr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Capitale o risorse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</w:tr>
      <w:tr>
        <w:trPr>
          <w:cantSplit/>
        </w:trPr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Quota / compenso / prezzo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</w:tr>
      <w:tr>
        <w:trPr>
          <w:cantSplit/>
        </w:trPr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Ruolo e ore richieste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</w:tr>
      <w:tr>
        <w:trPr>
          <w:cantSplit/>
        </w:trPr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Diritti e limiti decisionali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</w:tr>
      <w:tr>
        <w:trPr>
          <w:cantSplit/>
        </w:trPr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Condizioni e verifiche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  <w:shd w:fill="F8FAFA"/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</w:tr>
      <w:tr>
        <w:trPr>
          <w:cantSplit/>
        </w:trPr>
        <w:tc>
          <w:tcPr>
            <w:tcW w:type="dxa" w:w="3855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Rischio principale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  <w:tc>
          <w:tcPr>
            <w:tcW w:type="dxa" w:w="2778"/>
            <w:tcMar>
              <w:top w:w="75" w:type="dxa"/>
              <w:start w:w="100" w:type="dxa"/>
              <w:bottom w:w="75" w:type="dxa"/>
              <w:end w:w="100" w:type="dxa"/>
            </w:tcMar>
          </w:tcPr>
          <w:p>
            <w:pPr>
              <w:spacing w:after="0" w:line="269" w:lineRule="auto"/>
            </w:pPr>
            <w:r>
              <w:rPr>
                <w:rFonts w:ascii="Aptos" w:hAnsi="Aptos"/>
                <w:b w:val="0"/>
                <w:color w:val="18364A"/>
                <w:sz w:val="16"/>
              </w:rPr>
              <w:t>[__________]</w:t>
            </w:r>
          </w:p>
        </w:tc>
      </w:tr>
    </w:tbl>
    <w:p>
      <w:pPr>
        <w:spacing w:after="0"/>
      </w:pPr>
    </w:p>
    <w:p>
      <w:pPr>
        <w:pStyle w:val="Heading2"/>
      </w:pPr>
      <w:r>
        <w:t>Quattro controlli prima di dire sì</w:t>
      </w:r>
    </w:p>
    <w:p>
      <w:pPr>
        <w:pStyle w:val="ListBullet"/>
        <w:spacing w:after="60"/>
        <w:ind w:left="312" w:hanging="85"/>
      </w:pPr>
      <w:r>
        <w:t>[  ] C’è corrispondenza tra promessa orale e proposta scritta?</w:t>
      </w:r>
    </w:p>
    <w:p>
      <w:pPr>
        <w:pStyle w:val="ListBullet"/>
        <w:spacing w:after="60"/>
        <w:ind w:left="312" w:hanging="85"/>
      </w:pPr>
      <w:r>
        <w:t>[  ] Chi ha il potere di impegnare la società o il titolare?</w:t>
      </w:r>
    </w:p>
    <w:p>
      <w:pPr>
        <w:pStyle w:val="ListBullet"/>
        <w:spacing w:after="60"/>
        <w:ind w:left="312" w:hanging="85"/>
      </w:pPr>
      <w:r>
        <w:t>[  ] La mia alternativa se non firmiamo è ancora accettabile?</w:t>
      </w:r>
    </w:p>
    <w:p>
      <w:pPr>
        <w:pStyle w:val="ListBullet"/>
        <w:spacing w:after="60"/>
        <w:ind w:left="312" w:hanging="85"/>
      </w:pPr>
      <w:r>
        <w:t>[  ] Capisco il costo di uscire dal rapporto in condizioni sfavorevoli?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19" w:right="1219" w:bottom="1106" w:left="1276" w:header="499" w:footer="46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596674"/>
        <w:sz w:val="14"/>
      </w:rPr>
      <w:t xml:space="preserve">imprendereora.com   ·   Materiale informativo  |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5102"/>
      <w:gridCol w:w="4309"/>
    </w:tblGrid>
    <w:tr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r>
            <w:rPr>
              <w:rFonts w:ascii="Aptos" w:hAnsi="Aptos"/>
              <w:b/>
              <w:color w:val="18364A"/>
              <w:sz w:val="20"/>
            </w:rPr>
            <w:t>IMPRENDEREORA</w:t>
          </w:r>
        </w:p>
      </w:tc>
      <w:tc>
        <w:tcPr>
          <w:tcW w:type="dxa" w:w="4706"/>
          <w:tcMar>
            <w:top w:w="0" w:type="dxa"/>
            <w:start w:w="0" w:type="dxa"/>
            <w:bottom w:w="0" w:type="dxa"/>
            <w:end w:w="0" w:type="dxa"/>
          </w:tcMar>
          <w:tcBorders>
            <w:bottom w:val="single" w:color="D8E2E4" w:sz="9"/>
          </w:tcBorders>
        </w:tcPr>
        <w:p>
          <w:pPr>
            <w:jc w:val="right"/>
          </w:pPr>
          <w:r>
            <w:rPr>
              <w:rFonts w:ascii="Aptos" w:hAnsi="Aptos"/>
              <w:b/>
              <w:color w:val="596674"/>
              <w:sz w:val="15"/>
            </w:rPr>
            <w:t>KIT 06  /  MESSAGGI E CONTATTI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 w:after="80"/>
    </w:pPr>
    <w:rPr>
      <w:rFonts w:ascii="Aptos" w:hAnsi="Aptos"/>
      <w:color w:val="18364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255E73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267F8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 w:ascii="Aptos" w:hAnsi="Aptos"/>
      <w:b/>
      <w:bCs/>
      <w:color w:val="18364A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8364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Box">
    <w:name w:val="Model Box"/>
    <w:basedOn w:val="Normal"/>
    <w:pPr>
      <w:spacing w:before="80" w:after="120" w:line="288" w:lineRule="auto"/>
      <w:ind w:left="170" w:right="113"/>
    </w:pPr>
    <w:rPr>
      <w:color w:val="18364A"/>
      <w:sz w:val="18"/>
    </w:rPr>
  </w:style>
  <w:style w:type="paragraph" w:customStyle="1" w:styleId="LabelBox">
    <w:name w:val="Label Box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